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四川银行定开系列6个月13号净值型理财产品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269,821,000.00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12.30</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8,230,001.13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7,404,541.73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271,600,823.19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271,600,823.19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1.1230</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211,502,137.03</w:t>
            </w:r>
          </w:p>
        </w:tc>
        <w:tc>
          <w:tcPr>
            <w:tcW w:w="1749" w:type="dxa"/>
            <w:shd w:val="clear" w:color="auto" w:fill="auto"/>
            <w:vAlign w:val="center"/>
          </w:tcPr>
          <w:p>
            <w:pPr>
              <w:jc w:val="right"/>
            </w:pPr>
            <w:r>
              <w:t>77.35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211,502,137.03</w:t>
            </w:r>
          </w:p>
        </w:tc>
        <w:tc>
          <w:tcPr>
            <w:tcW w:w="1749" w:type="dxa"/>
            <w:shd w:val="clear" w:color="auto" w:fill="auto"/>
            <w:vAlign w:val="center"/>
          </w:tcPr>
          <w:p>
            <w:pPr>
              <w:jc w:val="right"/>
            </w:pPr>
            <w:r>
              <w:t>77.35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61,003,732.77</w:t>
            </w:r>
          </w:p>
        </w:tc>
        <w:tc>
          <w:tcPr>
            <w:tcW w:w="1749" w:type="dxa"/>
            <w:shd w:val="clear" w:color="auto" w:fill="auto"/>
            <w:vAlign w:val="center"/>
          </w:tcPr>
          <w:p>
            <w:pPr>
              <w:jc w:val="right"/>
            </w:pPr>
            <w:r>
              <w:t>22.31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865,343.01</w:t>
            </w:r>
          </w:p>
        </w:tc>
        <w:tc>
          <w:tcPr>
            <w:tcW w:w="1749" w:type="dxa"/>
            <w:shd w:val="clear" w:color="auto" w:fill="auto"/>
            <w:vAlign w:val="center"/>
          </w:tcPr>
          <w:p>
            <w:pPr>
              <w:jc w:val="right"/>
            </w:pPr>
            <w:r>
              <w:t>0.32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58,918.00</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273,430,130.81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61,003,732.77</w:t>
            </w:r>
          </w:p>
        </w:tc>
        <w:tc>
          <w:tcPr>
            <w:tcW w:w="2431" w:type="dxa"/>
            <w:shd w:val="clear" w:color="auto" w:fill="auto"/>
            <w:vAlign w:val="center"/>
          </w:tcPr>
          <w:p>
            <w:pPr>
              <w:jc w:val="right"/>
            </w:pPr>
            <w:bookmarkStart w:id="3" w:name="OLE_LINK5"/>
            <w:bookmarkEnd w:id="3"/>
            <w:bookmarkStart w:id="4" w:name="OLE_LINK6"/>
            <w:bookmarkEnd w:id="4"/>
            <w:r>
              <w:rPr>
                <w:rFonts w:hint="eastAsia"/>
              </w:rPr>
              <w:t>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25贵州银行CD092</w:t>
            </w:r>
          </w:p>
        </w:tc>
        <w:tc>
          <w:tcPr>
            <w:tcW w:w="2693" w:type="dxa"/>
            <w:shd w:val="clear" w:color="auto" w:fill="auto"/>
            <w:vAlign w:val="center"/>
          </w:tcPr>
          <w:p>
            <w:pPr>
              <w:ind w:hanging="1"/>
              <w:jc w:val="right"/>
            </w:pPr>
            <w:r>
              <w:rPr>
                <w:b w:val="0"/>
                <w:i w:val="0"/>
                <w:strike w:val="0"/>
                <w:u w:val="none"/>
              </w:rPr>
              <w:t>19,759,284.66</w:t>
            </w:r>
          </w:p>
        </w:tc>
        <w:tc>
          <w:tcPr>
            <w:tcW w:w="2431" w:type="dxa"/>
            <w:shd w:val="clear" w:color="auto" w:fill="auto"/>
            <w:vAlign w:val="center"/>
          </w:tcPr>
          <w:p>
            <w:pPr>
              <w:ind w:hanging="1"/>
              <w:jc w:val="right"/>
            </w:pPr>
            <w:r>
              <w:rPr>
                <w:rFonts w:hint="eastAsia"/>
                <w:b w:val="0"/>
                <w:i w:val="0"/>
                <w:strike w:val="0"/>
                <w:u w:val="none"/>
              </w:rPr>
              <w:t>7.28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15,718,664.38</w:t>
            </w:r>
          </w:p>
        </w:tc>
        <w:tc>
          <w:tcPr>
            <w:tcW w:w="2431" w:type="dxa"/>
            <w:shd w:val="clear" w:color="auto" w:fill="auto"/>
            <w:vAlign w:val="center"/>
          </w:tcPr>
          <w:p>
            <w:pPr>
              <w:ind w:hanging="1"/>
              <w:jc w:val="right"/>
            </w:pPr>
            <w:r>
              <w:rPr>
                <w:rFonts w:hint="eastAsia"/>
                <w:b w:val="0"/>
                <w:i w:val="0"/>
                <w:strike w:val="0"/>
                <w:u w:val="none"/>
              </w:rPr>
              <w:t>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25富滇银行CD107</w:t>
            </w:r>
          </w:p>
        </w:tc>
        <w:tc>
          <w:tcPr>
            <w:tcW w:w="2693" w:type="dxa"/>
            <w:shd w:val="clear" w:color="auto" w:fill="auto"/>
            <w:vAlign w:val="center"/>
          </w:tcPr>
          <w:p>
            <w:pPr>
              <w:ind w:hanging="1"/>
              <w:jc w:val="right"/>
            </w:pPr>
            <w:r>
              <w:rPr>
                <w:b w:val="0"/>
                <w:i w:val="0"/>
                <w:strike w:val="0"/>
                <w:u w:val="none"/>
              </w:rPr>
              <w:t>12,875,076.20</w:t>
            </w:r>
          </w:p>
        </w:tc>
        <w:tc>
          <w:tcPr>
            <w:tcW w:w="2431" w:type="dxa"/>
            <w:shd w:val="clear" w:color="auto" w:fill="auto"/>
            <w:vAlign w:val="center"/>
          </w:tcPr>
          <w:p>
            <w:pPr>
              <w:ind w:hanging="1"/>
              <w:jc w:val="right"/>
            </w:pPr>
            <w:r>
              <w:rPr>
                <w:rFonts w:hint="eastAsia"/>
                <w:b w:val="0"/>
                <w:i w:val="0"/>
                <w:strike w:val="0"/>
                <w:u w:val="none"/>
              </w:rPr>
              <w:t>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24达发01</w:t>
            </w:r>
          </w:p>
        </w:tc>
        <w:tc>
          <w:tcPr>
            <w:tcW w:w="2693" w:type="dxa"/>
            <w:shd w:val="clear" w:color="auto" w:fill="auto"/>
            <w:vAlign w:val="center"/>
          </w:tcPr>
          <w:p>
            <w:pPr>
              <w:ind w:hanging="1"/>
              <w:jc w:val="right"/>
            </w:pPr>
            <w:r>
              <w:rPr>
                <w:b w:val="0"/>
                <w:i w:val="0"/>
                <w:strike w:val="0"/>
                <w:u w:val="none"/>
              </w:rPr>
              <w:t>12,717,613.15</w:t>
            </w:r>
          </w:p>
        </w:tc>
        <w:tc>
          <w:tcPr>
            <w:tcW w:w="2431" w:type="dxa"/>
            <w:shd w:val="clear" w:color="auto" w:fill="auto"/>
            <w:vAlign w:val="center"/>
          </w:tcPr>
          <w:p>
            <w:pPr>
              <w:ind w:hanging="1"/>
              <w:jc w:val="right"/>
            </w:pPr>
            <w:r>
              <w:rPr>
                <w:rFonts w:hint="eastAsia"/>
                <w:b w:val="0"/>
                <w:i w:val="0"/>
                <w:strike w:val="0"/>
                <w:u w:val="none"/>
              </w:rPr>
              <w:t>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25乌鲁木齐银行CD128</w:t>
            </w:r>
          </w:p>
        </w:tc>
        <w:tc>
          <w:tcPr>
            <w:tcW w:w="2693" w:type="dxa"/>
            <w:shd w:val="clear" w:color="auto" w:fill="auto"/>
            <w:vAlign w:val="center"/>
          </w:tcPr>
          <w:p>
            <w:pPr>
              <w:ind w:hanging="1"/>
              <w:jc w:val="right"/>
            </w:pPr>
            <w:r>
              <w:rPr>
                <w:b w:val="0"/>
                <w:i w:val="0"/>
                <w:strike w:val="0"/>
                <w:u w:val="none"/>
              </w:rPr>
              <w:t>11,910,134.51</w:t>
            </w:r>
          </w:p>
        </w:tc>
        <w:tc>
          <w:tcPr>
            <w:tcW w:w="2431" w:type="dxa"/>
            <w:shd w:val="clear" w:color="auto" w:fill="auto"/>
            <w:vAlign w:val="center"/>
          </w:tcPr>
          <w:p>
            <w:pPr>
              <w:ind w:hanging="1"/>
              <w:jc w:val="right"/>
            </w:pPr>
            <w:r>
              <w:rPr>
                <w:rFonts w:hint="eastAsia"/>
                <w:b w:val="0"/>
                <w:i w:val="0"/>
                <w:strike w:val="0"/>
                <w:u w:val="none"/>
              </w:rP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21攀国投</w:t>
            </w:r>
          </w:p>
        </w:tc>
        <w:tc>
          <w:tcPr>
            <w:tcW w:w="2693" w:type="dxa"/>
            <w:shd w:val="clear" w:color="auto" w:fill="auto"/>
            <w:vAlign w:val="center"/>
          </w:tcPr>
          <w:p>
            <w:pPr>
              <w:ind w:hanging="1"/>
              <w:jc w:val="right"/>
            </w:pPr>
            <w:r>
              <w:rPr>
                <w:b w:val="0"/>
                <w:i w:val="0"/>
                <w:strike w:val="0"/>
                <w:u w:val="none"/>
              </w:rPr>
              <w:t>10,396,602.74</w:t>
            </w:r>
          </w:p>
        </w:tc>
        <w:tc>
          <w:tcPr>
            <w:tcW w:w="2431" w:type="dxa"/>
            <w:shd w:val="clear" w:color="auto" w:fill="auto"/>
            <w:vAlign w:val="center"/>
          </w:tcPr>
          <w:p>
            <w:pPr>
              <w:ind w:hanging="1"/>
              <w:jc w:val="right"/>
            </w:pPr>
            <w:r>
              <w:rPr>
                <w:rFonts w:hint="eastAsia"/>
                <w:b w:val="0"/>
                <w:i w:val="0"/>
                <w:strike w:val="0"/>
                <w:u w:val="none"/>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10,233,172.60</w:t>
            </w:r>
          </w:p>
        </w:tc>
        <w:tc>
          <w:tcPr>
            <w:tcW w:w="2431" w:type="dxa"/>
            <w:shd w:val="clear" w:color="auto" w:fill="auto"/>
            <w:vAlign w:val="center"/>
          </w:tcPr>
          <w:p>
            <w:pPr>
              <w:ind w:hanging="1"/>
              <w:jc w:val="right"/>
            </w:pPr>
            <w:r>
              <w:rPr>
                <w:rFonts w:hint="eastAsia"/>
                <w:b w:val="0"/>
                <w:i w:val="0"/>
                <w:strike w:val="0"/>
                <w:u w:val="none"/>
              </w:rPr>
              <w:t>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10,125,210.96</w:t>
            </w:r>
          </w:p>
        </w:tc>
        <w:tc>
          <w:tcPr>
            <w:tcW w:w="2431" w:type="dxa"/>
            <w:shd w:val="clear" w:color="auto" w:fill="auto"/>
            <w:vAlign w:val="center"/>
          </w:tcPr>
          <w:p>
            <w:pPr>
              <w:ind w:hanging="1"/>
              <w:jc w:val="right"/>
            </w:pPr>
            <w:r>
              <w:rPr>
                <w:rFonts w:hint="eastAsia"/>
                <w:b w:val="0"/>
                <w:i w:val="0"/>
                <w:strike w:val="0"/>
                <w:u w:val="none"/>
              </w:rPr>
              <w:t>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10,115,260.27</w:t>
            </w:r>
          </w:p>
        </w:tc>
        <w:tc>
          <w:tcPr>
            <w:tcW w:w="2431" w:type="dxa"/>
            <w:shd w:val="clear" w:color="auto" w:fill="auto"/>
            <w:vAlign w:val="center"/>
          </w:tcPr>
          <w:p>
            <w:pPr>
              <w:ind w:hanging="1"/>
              <w:jc w:val="right"/>
            </w:pPr>
            <w:r>
              <w:rPr>
                <w:rFonts w:hint="eastAsia"/>
                <w:b w:val="0"/>
                <w:i w:val="0"/>
                <w:strike w:val="0"/>
                <w:u w:val="none"/>
              </w:rPr>
              <w:t>3.72</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无</w:t>
      </w:r>
      <w:r>
        <w:rPr>
          <w:rFonts w:hint="eastAsia" w:asciiTheme="minorEastAsia" w:hAnsiTheme="minorEastAsia" w:eastAsiaTheme="minorEastAsia"/>
          <w:szCs w:val="21"/>
        </w:rPr>
        <w:t>。</w:t>
      </w:r>
    </w:p>
    <w:p>
      <w:pPr>
        <w:spacing w:line="360" w:lineRule="auto"/>
        <w:ind w:right="-107" w:rightChars="-51" w:firstLine="420" w:firstLineChars="200"/>
        <w:jc w:val="left"/>
        <w:rPr>
          <w:rFonts w:hint="eastAsia" w:ascii="宋体" w:hAnsi="宋体"/>
          <w:szCs w:val="21"/>
        </w:rPr>
      </w:pP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1381063"/>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C03455A"/>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2026-01-14T07:34:11Z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987E0E46711440819551B4DA2259E19C</vt:lpwstr>
  </property>
</Properties>
</file>