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bookmarkStart w:id="5" w:name="_GoBack"/>
      <w:bookmarkEnd w:id="5"/>
    </w:p>
    <w:p>
      <w:pPr>
        <w:rPr>
          <w:sz w:val="48"/>
        </w:rPr>
      </w:pPr>
    </w:p>
    <w:p>
      <w:pPr>
        <w:jc w:val="center"/>
        <w:rPr>
          <w:rFonts w:ascii="宋体" w:hAnsi="宋体"/>
          <w:b/>
          <w:bCs/>
          <w:sz w:val="48"/>
          <w:szCs w:val="30"/>
        </w:rPr>
      </w:pPr>
      <w:r>
        <w:rPr>
          <w:rFonts w:ascii="宋体" w:hAnsi="宋体"/>
          <w:b/>
          <w:bCs/>
          <w:sz w:val="48"/>
          <w:szCs w:val="30"/>
        </w:rPr>
        <w:t>四川银行定开系列3个月6号净值型理财产品</w:t>
      </w:r>
    </w:p>
    <w:p>
      <w:pPr>
        <w:jc w:val="center"/>
        <w:rPr>
          <w:rFonts w:ascii="宋体" w:hAnsi="宋体"/>
          <w:b/>
          <w:bCs/>
          <w:sz w:val="48"/>
          <w:szCs w:val="30"/>
        </w:rPr>
      </w:pPr>
      <w:r>
        <w:rPr>
          <w:rFonts w:ascii="宋体" w:hAnsi="宋体"/>
          <w:b/>
          <w:bCs/>
          <w:sz w:val="48"/>
          <w:szCs w:val="30"/>
        </w:rPr>
        <w:t>2025年年度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四川银行定开系列3个月6号净值型理财产品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453,021,400.00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[2.2%-3.2%]/年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四川银行-四川银行定开系列3个月6号净值型理财产品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2025-12-31</w:t>
            </w:r>
            <w:r>
              <w:rPr>
                <w:rFonts w:hint="eastAsia" w:ascii="宋体" w:hAnsi="宋体"/>
              </w:rPr>
              <w:t>）</w:t>
            </w:r>
          </w:p>
        </w:tc>
        <w:tc>
          <w:tcPr>
            <w:tcW w:w="5103" w:type="dxa"/>
            <w:vAlign w:val="center"/>
          </w:tcPr>
          <w:p>
            <w:pPr>
              <w:jc w:val="right"/>
            </w:pPr>
            <w:r>
              <w:t>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10.83</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13,768,325.86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12,330,696.28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454,550,532.56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1.1083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454,550,532.56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1.1083</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400,675,801.70</w:t>
            </w:r>
          </w:p>
        </w:tc>
        <w:tc>
          <w:tcPr>
            <w:tcW w:w="1749" w:type="dxa"/>
            <w:shd w:val="clear" w:color="auto" w:fill="auto"/>
            <w:vAlign w:val="center"/>
          </w:tcPr>
          <w:p>
            <w:pPr>
              <w:jc w:val="right"/>
            </w:pPr>
            <w:r>
              <w:t>87.52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400,675,801.70</w:t>
            </w:r>
          </w:p>
        </w:tc>
        <w:tc>
          <w:tcPr>
            <w:tcW w:w="1749" w:type="dxa"/>
            <w:shd w:val="clear" w:color="auto" w:fill="auto"/>
            <w:vAlign w:val="center"/>
          </w:tcPr>
          <w:p>
            <w:pPr>
              <w:jc w:val="right"/>
            </w:pPr>
            <w:r>
              <w:t>87.52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57,143,960.17</w:t>
            </w:r>
          </w:p>
        </w:tc>
        <w:tc>
          <w:tcPr>
            <w:tcW w:w="1749" w:type="dxa"/>
            <w:shd w:val="clear" w:color="auto" w:fill="auto"/>
            <w:vAlign w:val="center"/>
          </w:tcPr>
          <w:p>
            <w:pPr>
              <w:jc w:val="right"/>
            </w:pPr>
            <w:r>
              <w:t>12.48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4,363.65</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457,824,125.52</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24龙驰01</w:t>
            </w:r>
          </w:p>
        </w:tc>
        <w:tc>
          <w:tcPr>
            <w:tcW w:w="2693" w:type="dxa"/>
            <w:shd w:val="clear" w:color="auto" w:fill="auto"/>
            <w:vAlign w:val="center"/>
          </w:tcPr>
          <w:p>
            <w:pPr>
              <w:jc w:val="right"/>
            </w:pPr>
            <w:r>
              <w:t>26,552,157.54</w:t>
            </w:r>
          </w:p>
        </w:tc>
        <w:tc>
          <w:tcPr>
            <w:tcW w:w="2431" w:type="dxa"/>
            <w:shd w:val="clear" w:color="auto" w:fill="auto"/>
            <w:vAlign w:val="center"/>
          </w:tcPr>
          <w:p>
            <w:pPr>
              <w:jc w:val="right"/>
            </w:pPr>
            <w:bookmarkStart w:id="3" w:name="OLE_LINK6"/>
            <w:bookmarkEnd w:id="3"/>
            <w:bookmarkStart w:id="4" w:name="OLE_LINK5"/>
            <w:bookmarkEnd w:id="4"/>
            <w:r>
              <w:rPr>
                <w:rFonts w:hint="eastAsia"/>
              </w:rPr>
              <w:t>5.84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pPr>
              <w:ind w:hanging="1"/>
              <w:jc w:val="right"/>
            </w:pPr>
            <w:r>
              <w:rPr>
                <w:b w:val="0"/>
                <w:i w:val="0"/>
                <w:strike w:val="0"/>
                <w:u w:val="none"/>
              </w:rPr>
              <w:t>25,430,547.95</w:t>
            </w:r>
          </w:p>
        </w:tc>
        <w:tc>
          <w:tcPr>
            <w:tcW w:w="2431" w:type="dxa"/>
            <w:shd w:val="clear" w:color="auto" w:fill="auto"/>
            <w:vAlign w:val="center"/>
          </w:tcPr>
          <w:p>
            <w:pPr>
              <w:ind w:hanging="1"/>
              <w:jc w:val="right"/>
            </w:pPr>
            <w:r>
              <w:rPr>
                <w:rFonts w:hint="eastAsia"/>
                <w:b w:val="0"/>
                <w:i w:val="0"/>
                <w:strike w:val="0"/>
                <w:u w:val="none"/>
              </w:rPr>
              <w:t>5.59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23达州02</w:t>
            </w:r>
          </w:p>
        </w:tc>
        <w:tc>
          <w:tcPr>
            <w:tcW w:w="2693" w:type="dxa"/>
            <w:shd w:val="clear" w:color="auto" w:fill="auto"/>
            <w:vAlign w:val="center"/>
          </w:tcPr>
          <w:p>
            <w:pPr>
              <w:ind w:hanging="1"/>
              <w:jc w:val="right"/>
            </w:pPr>
            <w:r>
              <w:rPr>
                <w:b w:val="0"/>
                <w:i w:val="0"/>
                <w:strike w:val="0"/>
                <w:u w:val="none"/>
              </w:rPr>
              <w:t>24,101,952.05</w:t>
            </w:r>
          </w:p>
        </w:tc>
        <w:tc>
          <w:tcPr>
            <w:tcW w:w="2431" w:type="dxa"/>
            <w:shd w:val="clear" w:color="auto" w:fill="auto"/>
            <w:vAlign w:val="center"/>
          </w:tcPr>
          <w:p>
            <w:pPr>
              <w:ind w:hanging="1"/>
              <w:jc w:val="right"/>
            </w:pPr>
            <w:r>
              <w:rPr>
                <w:rFonts w:hint="eastAsia"/>
                <w:b w:val="0"/>
                <w:i w:val="0"/>
                <w:strike w:val="0"/>
                <w:u w:val="none"/>
              </w:rPr>
              <w:t>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23自贡01</w:t>
            </w:r>
          </w:p>
        </w:tc>
        <w:tc>
          <w:tcPr>
            <w:tcW w:w="2693" w:type="dxa"/>
            <w:shd w:val="clear" w:color="auto" w:fill="auto"/>
            <w:vAlign w:val="center"/>
          </w:tcPr>
          <w:p>
            <w:pPr>
              <w:ind w:hanging="1"/>
              <w:jc w:val="right"/>
            </w:pPr>
            <w:r>
              <w:rPr>
                <w:b w:val="0"/>
                <w:i w:val="0"/>
                <w:strike w:val="0"/>
                <w:u w:val="none"/>
              </w:rPr>
              <w:t>21,192,657.53</w:t>
            </w:r>
          </w:p>
        </w:tc>
        <w:tc>
          <w:tcPr>
            <w:tcW w:w="2431" w:type="dxa"/>
            <w:shd w:val="clear" w:color="auto" w:fill="auto"/>
            <w:vAlign w:val="center"/>
          </w:tcPr>
          <w:p>
            <w:pPr>
              <w:ind w:hanging="1"/>
              <w:jc w:val="right"/>
            </w:pPr>
            <w:r>
              <w:rPr>
                <w:rFonts w:hint="eastAsia"/>
                <w:b w:val="0"/>
                <w:i w:val="0"/>
                <w:strike w:val="0"/>
                <w:u w:val="none"/>
              </w:rPr>
              <w:t>4.66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24泸州产业PPN001</w:t>
            </w:r>
          </w:p>
        </w:tc>
        <w:tc>
          <w:tcPr>
            <w:tcW w:w="2693" w:type="dxa"/>
            <w:shd w:val="clear" w:color="auto" w:fill="auto"/>
            <w:vAlign w:val="center"/>
          </w:tcPr>
          <w:p>
            <w:pPr>
              <w:ind w:hanging="1"/>
              <w:jc w:val="right"/>
            </w:pPr>
            <w:r>
              <w:rPr>
                <w:b w:val="0"/>
                <w:i w:val="0"/>
                <w:strike w:val="0"/>
                <w:u w:val="none"/>
              </w:rPr>
              <w:t>21,041,232.88</w:t>
            </w:r>
          </w:p>
        </w:tc>
        <w:tc>
          <w:tcPr>
            <w:tcW w:w="2431" w:type="dxa"/>
            <w:shd w:val="clear" w:color="auto" w:fill="auto"/>
            <w:vAlign w:val="center"/>
          </w:tcPr>
          <w:p>
            <w:pPr>
              <w:ind w:hanging="1"/>
              <w:jc w:val="right"/>
            </w:pPr>
            <w:r>
              <w:rPr>
                <w:rFonts w:hint="eastAsia"/>
                <w:b w:val="0"/>
                <w:i w:val="0"/>
                <w:strike w:val="0"/>
                <w:u w:val="none"/>
              </w:rPr>
              <w:t>4.63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23阳安债</w:t>
            </w:r>
          </w:p>
        </w:tc>
        <w:tc>
          <w:tcPr>
            <w:tcW w:w="2693" w:type="dxa"/>
            <w:shd w:val="clear" w:color="auto" w:fill="auto"/>
            <w:vAlign w:val="center"/>
          </w:tcPr>
          <w:p>
            <w:pPr>
              <w:ind w:hanging="1"/>
              <w:jc w:val="right"/>
            </w:pPr>
            <w:r>
              <w:rPr>
                <w:b w:val="0"/>
                <w:i w:val="0"/>
                <w:strike w:val="0"/>
                <w:u w:val="none"/>
              </w:rPr>
              <w:t>20,793,150.68</w:t>
            </w:r>
          </w:p>
        </w:tc>
        <w:tc>
          <w:tcPr>
            <w:tcW w:w="2431" w:type="dxa"/>
            <w:shd w:val="clear" w:color="auto" w:fill="auto"/>
            <w:vAlign w:val="center"/>
          </w:tcPr>
          <w:p>
            <w:pPr>
              <w:ind w:hanging="1"/>
              <w:jc w:val="right"/>
            </w:pPr>
            <w:r>
              <w:rPr>
                <w:rFonts w:hint="eastAsia"/>
                <w:b w:val="0"/>
                <w:i w:val="0"/>
                <w:strike w:val="0"/>
                <w:u w:val="none"/>
              </w:rPr>
              <w:t>4.57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22眉山发展PPN001</w:t>
            </w:r>
          </w:p>
        </w:tc>
        <w:tc>
          <w:tcPr>
            <w:tcW w:w="2693" w:type="dxa"/>
            <w:shd w:val="clear" w:color="auto" w:fill="auto"/>
            <w:vAlign w:val="center"/>
          </w:tcPr>
          <w:p>
            <w:pPr>
              <w:ind w:hanging="1"/>
              <w:jc w:val="right"/>
            </w:pPr>
            <w:r>
              <w:rPr>
                <w:b w:val="0"/>
                <w:i w:val="0"/>
                <w:strike w:val="0"/>
                <w:u w:val="none"/>
              </w:rPr>
              <w:t>20,625,671.23</w:t>
            </w:r>
          </w:p>
        </w:tc>
        <w:tc>
          <w:tcPr>
            <w:tcW w:w="2431" w:type="dxa"/>
            <w:shd w:val="clear" w:color="auto" w:fill="auto"/>
            <w:vAlign w:val="center"/>
          </w:tcPr>
          <w:p>
            <w:pPr>
              <w:ind w:hanging="1"/>
              <w:jc w:val="right"/>
            </w:pPr>
            <w:r>
              <w:rPr>
                <w:rFonts w:hint="eastAsia"/>
                <w:b w:val="0"/>
                <w:i w:val="0"/>
                <w:strike w:val="0"/>
                <w:u w:val="none"/>
              </w:rPr>
              <w:t>4.54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pPr>
              <w:ind w:hanging="1"/>
              <w:jc w:val="right"/>
            </w:pPr>
            <w:r>
              <w:rPr>
                <w:b w:val="0"/>
                <w:i w:val="0"/>
                <w:strike w:val="0"/>
                <w:u w:val="none"/>
              </w:rPr>
              <w:t>20,608,027.40</w:t>
            </w:r>
          </w:p>
        </w:tc>
        <w:tc>
          <w:tcPr>
            <w:tcW w:w="2431" w:type="dxa"/>
            <w:shd w:val="clear" w:color="auto" w:fill="auto"/>
            <w:vAlign w:val="center"/>
          </w:tcPr>
          <w:p>
            <w:pPr>
              <w:ind w:hanging="1"/>
              <w:jc w:val="right"/>
            </w:pPr>
            <w:r>
              <w:rPr>
                <w:rFonts w:hint="eastAsia"/>
                <w:b w:val="0"/>
                <w:i w:val="0"/>
                <w:strike w:val="0"/>
                <w:u w:val="none"/>
              </w:rPr>
              <w:t>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23泸发01</w:t>
            </w:r>
          </w:p>
        </w:tc>
        <w:tc>
          <w:tcPr>
            <w:tcW w:w="2693" w:type="dxa"/>
            <w:shd w:val="clear" w:color="auto" w:fill="auto"/>
            <w:vAlign w:val="center"/>
          </w:tcPr>
          <w:p>
            <w:pPr>
              <w:ind w:hanging="1"/>
              <w:jc w:val="right"/>
            </w:pPr>
            <w:r>
              <w:rPr>
                <w:b w:val="0"/>
                <w:i w:val="0"/>
                <w:strike w:val="0"/>
                <w:u w:val="none"/>
              </w:rPr>
              <w:t>20,564,410.96</w:t>
            </w:r>
          </w:p>
        </w:tc>
        <w:tc>
          <w:tcPr>
            <w:tcW w:w="2431" w:type="dxa"/>
            <w:shd w:val="clear" w:color="auto" w:fill="auto"/>
            <w:vAlign w:val="center"/>
          </w:tcPr>
          <w:p>
            <w:pPr>
              <w:ind w:hanging="1"/>
              <w:jc w:val="right"/>
            </w:pPr>
            <w:r>
              <w:rPr>
                <w:rFonts w:hint="eastAsia"/>
                <w:b w:val="0"/>
                <w:i w:val="0"/>
                <w:strike w:val="0"/>
                <w:u w:val="none"/>
              </w:rPr>
              <w:t>4.52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23鼎兴实业MTN003</w:t>
            </w:r>
          </w:p>
        </w:tc>
        <w:tc>
          <w:tcPr>
            <w:tcW w:w="2693" w:type="dxa"/>
            <w:shd w:val="clear" w:color="auto" w:fill="auto"/>
            <w:vAlign w:val="center"/>
          </w:tcPr>
          <w:p>
            <w:pPr>
              <w:ind w:hanging="1"/>
              <w:jc w:val="right"/>
            </w:pPr>
            <w:r>
              <w:rPr>
                <w:b w:val="0"/>
                <w:i w:val="0"/>
                <w:strike w:val="0"/>
                <w:u w:val="none"/>
              </w:rPr>
              <w:t>20,521,123.29</w:t>
            </w:r>
          </w:p>
        </w:tc>
        <w:tc>
          <w:tcPr>
            <w:tcW w:w="2431" w:type="dxa"/>
            <w:shd w:val="clear" w:color="auto" w:fill="auto"/>
            <w:vAlign w:val="center"/>
          </w:tcPr>
          <w:p>
            <w:pPr>
              <w:ind w:hanging="1"/>
              <w:jc w:val="right"/>
            </w:pPr>
            <w:r>
              <w:rPr>
                <w:rFonts w:hint="eastAsia"/>
                <w:b w:val="0"/>
                <w:i w:val="0"/>
                <w:strike w:val="0"/>
                <w:u w:val="none"/>
              </w:rPr>
              <w:t>4.51</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2026-01-15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51811F4"/>
    <w:rsid w:val="46050EA9"/>
    <w:rsid w:val="49D862C5"/>
    <w:rsid w:val="4B474E5A"/>
    <w:rsid w:val="51E06E0A"/>
    <w:rsid w:val="53167101"/>
    <w:rsid w:val="548C07D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2026-01-13T07:17:39Z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982C9A8EC2BA4248A4A7FD8B6B691011</vt:lpwstr>
  </property>
</Properties>
</file>