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0"/>
        </w:rPr>
      </w:pPr>
      <w:bookmarkStart w:id="0" w:name="_GoBack"/>
      <w:bookmarkEnd w:id="0"/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截至2024年4月30日，我行存续期满1个月的理财产品有1</w:t>
      </w:r>
      <w:r>
        <w:rPr>
          <w:rFonts w:ascii="仿宋" w:hAnsi="仿宋" w:eastAsia="仿宋"/>
          <w:sz w:val="28"/>
          <w:szCs w:val="30"/>
        </w:rPr>
        <w:t>5</w:t>
      </w:r>
      <w:r>
        <w:rPr>
          <w:rFonts w:hint="eastAsia" w:ascii="仿宋" w:hAnsi="仿宋" w:eastAsia="仿宋"/>
          <w:sz w:val="28"/>
          <w:szCs w:val="30"/>
        </w:rPr>
        <w:t>8只。根据2024年4月30日净值情况，各理财产品过往业绩情况如下</w:t>
      </w:r>
      <w:r>
        <w:rPr>
          <w:rFonts w:ascii="仿宋" w:hAnsi="仿宋" w:eastAsia="仿宋"/>
          <w:sz w:val="28"/>
          <w:szCs w:val="30"/>
        </w:rPr>
        <w:t>：</w:t>
      </w:r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一、成立1个月以上但不满1年的理财产品</w:t>
      </w:r>
    </w:p>
    <w:tbl>
      <w:tblPr>
        <w:tblStyle w:val="6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6"/>
        <w:gridCol w:w="1484"/>
        <w:gridCol w:w="1691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成立日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成立以来年化收益率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业绩比较基准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（按实际情况列示）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净值型系列封闭式第280期人民币理财产品（先到利B款半年分红）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2023/5/10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净值型系列封闭式第285期人民币理财产品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2023/5/31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净值型系列封闭式第288期人民币理财产品（攀西特别款）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2023/5/10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3.85%-4.3%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净值型系列封闭式第291期人民币理财产品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2023/6/15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净值型系列封闭式第292期人民币理财产品（尊享款）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2023/6/21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4%-4.6%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净值型系列封闭式第293期人民币理财产品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2023/7/12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净值型系列封闭式第294期人民币理财产品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净值型系列封闭式第295期人民币理财产品（中秋特别款）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4.33%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3.85%-4.45%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净值型系列封闭式第296期人民币理财产品（先到利B款半年分红）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2023/5/24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4.70%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净值型系列封闭式第297期人民币理财产品（先到利B款半年分红）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净值型系列封闭式第298期人民币理财产品（先到利C款按年分红）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2023/6/21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净值型系列封闭式第299期人民币理财产品（先到利C款按年分红）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5.54%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净值型系列封闭式第300期人民币理财产品（先到利C款按年分红）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2023/7/19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5.34%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净值型系列封闭式第301期人民币理财产品（先到利C款按年分红）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5.48%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净值型系列封闭式第302期人民币理财产品（先到利C款按年分红）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2023/8/16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5.65%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净值型系列封闭式第303期人民币理财产品（先到利C款按年分红）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2023/8/30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5.63%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净值型系列封闭式第304期人民币理财产品（先到利C款按年分红）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2023/9/13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5.28%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净值型系列封闭式第305期人民币理财产品（先到利C款按年分红）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2023/9/27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5.62%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4.35%-4.75%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净值型系列封闭式第306期人民币理财产品（蓉逸鑫特别款）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2023/6/9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3.75%-4.35%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净值型系列封闭式第308期人民币理财产品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净值型系列封闭式第309期人民币理财产品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2023/7/26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净值型系列封闭式第310期人民币理财产品（拥军特别款）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净值型系列封闭式第311期人民币理财产品（凉山火把节）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3.65%-4.25%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净值型系列封闭式第312期人民币理财产品（清凉一夏）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2023/8/15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3.65%-4.25%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净值型系列封闭式第313期人民币理财产品（七夕特别款）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2023/8/22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净值型系列封闭式第314期人民币理财产品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2023/8/29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3.58%-4.18%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净值型系列封闭式第315期人民币理财产品（教师节特别款）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2023/9/12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净值型系列封闭式第316期人民币理财产品（名山支行开业庆贺）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2023/9/19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3.58%-4.18%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净值型系列封闭式第317期人民币理财产品（秋分特别款）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2023/9/26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净值型系列封闭式第318期人民币理财产品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2023/10/18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3.85%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3.58%-4.18%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净值型系列封闭式第319期人民币理财产品（金色花城）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2023/10/25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3.58%-4.18%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4.35%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净值型系列封闭式第321期人民币理财产品（国庆献礼）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净值型系列封闭式第322期人民币理财产品（雅安分行感恩特别款）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2023/11/29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4.29%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净值型系列封闭式第323期人民币理财产品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2023/12/14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净值型系列封闭式第324期人民币理财产品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净值型系列封闭式第325期人民币理财产品（龙年招财贺岁龙腾四海）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2024/1/31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净值型系列封闭式第326期人民币理财产品（女神节特别款）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2024/3/12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3.65%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净值型系列封闭式第338期人民币理财产品（新客专享）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3.7%-4.3%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净值型系列封闭式第339期人民币理财产品（新客专享）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2024/3/14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3%-3.6%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净值型系列封闭式第341期人民币理财产品（先到利C款按年分红）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5.43%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净值型系列封闭式第342期人民币理财产品（先到利C款按年分红）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2023/10/25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5.70%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净值型系列封闭式第343期人民币理财产品（先到利C款按年分红）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5.71%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净值型系列封闭式第344期人民币理财产品（先到利C款按年分红）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2023/11/22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5.74%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净值型系列封闭式第345期人民币理财产品（先到利C款按年分红）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6.06%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净值型系列封闭式第346期人民币理财产品（先到利C款按年分红）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2023/12/26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6.93%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净值型系列封闭式第347期人民币理财产品（先到利C款按年分红）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2024/1/24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6.59%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4.2%-4.7%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净值型系列封闭式第348期人民币理财产品（先到利C款按年分红）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7.56%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4.1%-4.6%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净值型系列封闭式第351期人民币理财产品（行庆特别款）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4.13%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净值型系列封闭式第352期人民币理财产品（凉山彝族年）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2023/11/16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3.75%-4.35%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净值型系列封闭式第353期人民币理财产品（尊师理财）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4.15%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净值型系列封闭式第354期人民币理财产品（达州分行三周年特别款）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2023/12/13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净值型系列封闭式第355期人民币理财产品（成分两周岁别特款）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3.95%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净值型系列封闭式第356期人民币理财产品（元旦特别款）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2023/12/27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4.23%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3.68%-4.28%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净值型系列封闭式第357期人民币理财产品（跨年特别款）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净值型系列封闭式第358期人民币理财产品（暖警理财）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2024/1/10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净值型系列封闭式第359期人民币理财产品（小寒特别款）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2024/1/11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2024/1/17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净值型系列封闭式第361期人民币理财产品（大寒特别款）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2024/1/24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4.69%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净值型系列封闭式第362期人民币理财产品（幸福花惠特别款）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2024/1/30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4.40%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净值型系列封闭式第363期人民币理财产品（新春暖阳理财）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3.6%-4.2%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净值型系列封闭式第364期人民币理财产品（祥龙献瑞）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净值型系列封闭式第365期人民币理财产品（飞龙在天）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3.55%-4.15%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净值型系列封闭式第366期人民币理财产品（开工大吉）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3.5%-4.1%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净值型系列封闭式第367期人民币理财产品（元宵特别款）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2024/2/28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3.45%-4.05%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净值型系列封闭式第368期人民币理财产品（尊师理财）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2024/3/5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4.42%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3.48%-4.08%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净值型系列封闭式第369期人民币理财产品（惊蛰特别款）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4.24%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净值型系列封闭式第370期人民币理财产品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2024/3/13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3.87%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净值型系列封闭式第391期人民币理财产品（巴风蜀韵）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2024/3/19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净值型系列封闭式第392期人民币理财产品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2024/3/20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净值型系列封闭式第393期人民币理财产品（春分特别款）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2024/3/26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4.26%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3.3%-3.9%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16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净值型系列封闭式第394期人民币理财产品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2024/3/27</w:t>
            </w: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4.28%</w:t>
            </w: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3.2%-3.8%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30"/>
        </w:rPr>
      </w:pPr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二、成立1年以上但不满6年的理财产品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1134"/>
        <w:gridCol w:w="1134"/>
        <w:gridCol w:w="1134"/>
        <w:gridCol w:w="1134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成立日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历史年化收益率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业绩比较基准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（按实际情况列示）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69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2020年度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2024年度（截至4月30日）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川银系列“美日利”人民币理财产品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2020/9/3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3.32%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2.75%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2.33%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2.38%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无业绩比较基准（2020/9/3-2022/10/26、2022/12/31及以后）；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1.7%-2.7%（2022/10/27-2022/12/30）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四川银行定开系列1个月1号净值型理财产品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2.52%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2.90%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3.1%-3.5%（2022/9/15-2023/1/18）；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2.7%-3.6%（2023/2/21-2024/2/19）；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2.6%-3.2%（2024/3/19及以后）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四川银行定开系列1个月2号净值型理财产品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3.18%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3.08%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2.90%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3.1%-3.5%（2022/9/28-2023/1/29）；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2.7%-3.6%（2023/2/28-2024/2/28）；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2.6%-3.2%（2024/3/28及以后）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1.63%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3.38%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3.8%-4.0%（2022/4/7-2023/1/5）；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3.2%-4.2%（2023/4/7-2023/10/8）；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四川银行定开系列3个月2号净值型理财产品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1.94%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4.36%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3.8%-4.0%（2022/4/14-2023/1/12）；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3.2%-4.2%（2023/4/13-2023/10/12）；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3.0%-3.6%（2024/4/11及以后）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四川银行定开系列3个月3号净值型理财产品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1.19%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3.38%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3.8%-4.0%（2022/4/21-2023/1/19）；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3.2%-4.2%（2023/4/20-2023/10/19）；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3.0%-3.6%（2024/4/18及以后）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四川银行定开系列3个月4号净值型理财产品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1.92%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3.32%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3.8%-4.0%（2022/4/28-2023/1/29）；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3.2%-4.2%（2023/4/27-2023/10/26）；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3.0%-3.6%（2024/4/25及以后）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四川银行定开系列3个月5号净值型理财产品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2.38%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3.8%-4.0%（2022/5/6-2022/11/3）；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3.2%-4.2%（2023/2/2-2023/11/2）；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3.0%-3.6%（2024/4/30及以后）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四川银行定开系列3个月6号净值型理财产品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2.19%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3.26%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3.8%-4.0%（2022/5/12-2022/11/10）；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3.2%-4.2%（2023/2/9-2023/11/9）；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3.0%-3.6%（2024/2/8及以后）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四川银行定开系列3个月7号净值型理财产品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2.36%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3.8%-4.0%（2022/5/19-2022/11/17）；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3.2%-4.2%（2023/2/16-2023/11/16）；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3.0%-3.6%（2024/2/19及以后）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四川银行定开系列3个月8号净值型理财产品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1.10%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3.26%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3.8%-4.0%（2022/5/26-2022/11/24）；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3.2%-4.2%（2023/2/23-2023/11/23）；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3.0%-3.6%（2024/2/22及以后）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四川银行定开系列3个月9号净值型理财产品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2.26%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4.29%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3.8%-4.0%（2022/6/2-2022/12/1）；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3.2%-4.2%（2023/3/2-2023/11/30）；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3.0%-3.6%（2024/2/29及以后）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四川银行定开系列3个月10号净值型理财产品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2.85%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3.81%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3.8%-4.0%（2022/6/9-2022/12/8）；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3.2%-4.2%（2023/3/9-2023/12/7）；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3.0%-3.6%（2024/3/7及以后）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四川银行定开系列3个月11号净值型理财产品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2.06%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3.8%-4.0%（2022/6/16-2022/12/15）；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3.2%-4.2%（2023/3/16-2023/12/14）；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3.0%-3.6%（2024/3/14及以后）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四川银行定开系列3个月12号净值型理财产品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0.86%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3.26%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3.8%-4.0%（2022/6/23-2022/12/22）；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3.2%-4.2%（2023/3/23-2023/12/21）；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3.0%-3.6%（2024/3/21及以后）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四川银行定开系列3个月13号净值型理财产品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3.68%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3.23%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3.8%-4.0%（2022/6/30-2022/12/29）；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3.2%-4.2%（2023/3/30-2023/12/28）；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3.0%-3.6%（2024/3/28及以后）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4.05%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2.52%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5.34%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3.8%-4.2%（2021/11/16-2022/5/17）；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3.9%-4.1%（2022/11/16）；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3.4%-4.4%（2023/5/16-2023/11/16）；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3.1%-3.7%（2024/5/16及以后）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四川银行定开系列6个月2号净值型理财产品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4.06%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2.94%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3.8%-4.2%（2021/11/26）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3.9%-4.1%（2022/5/26-2022/11/29）；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3.4%-4.4%（2023/5/26-2023/11/28）；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3.1%-3.7%（2024/5/28及以后）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四川银行定开系列6个月3号净值型理财产品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4.09%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2.75%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3.8%-4.2%（2021/12/7）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3.9%-4.1%（2022/6/7-2022/12/6）；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3.4%-4.4%（2023/6/6-2023/12/6）；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3.1%-3.7%（2024/6/6及以后）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四川银行定开系列6个月4号净值型理财产品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1.57%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3.44%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3.8%-4.2%（2021/12/16）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3.9%-4.1%（2022/6/16-2022/12/16）；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3.4%-4.4%（2023/6/16-2023/12/19）；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3.1%-3.7%（2024/6/18及以后）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四川银行定开系列6个月5号净值型理财产品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4.64%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3.8%-4.2%（2021/12/28）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3.9%-4.1%（2022/6/28-2022/12/27）；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3.4%-4.4%（2023/6/26-2023/12/26）；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3.1%-3.7%（2024/6/26及以后）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四川银行定开系列6个月6号净值型理财产品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2021/11/5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1.41%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2.25%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4.23%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3.71%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3.8%-4.2%（2022/1/6）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3.9%-4.1%（2022/7/6-2023/1/6）；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3.4%-4.4%（2023/7/6-2024/1/9）；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3.1%-3.7%（2024/7/9及以后）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四川银行定开系列6个月7号净值型理财产品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1.99%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4.23%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3.59%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3.8%-4.2%（2022/1/18）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3.9%-4.1%（2022/7/19-2023/1/17）；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3.4%-4.4%（2023/7/18-2024/1/16）；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3.1%-3.7%（2024/7/16及以后）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四川银行定开系列6个月8号净值型理财产品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2.06%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3.53%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3.8%-4.2%（2022/1/26）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3.9%-4.1%（2022/7/26-2023/1/29）；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3.4%-4.4%（2023/7/26-2024/1/26）；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3.1%-3.7%（2024/7/26及以后）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四川银行定开系列6个月9号净值型理财产品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0.93%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5.06%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3.47%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3.9%-4.1%（2022/2/8-2022/8/9）；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3.4%-4.4%（2023/2/7-2024/2/6）；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3.1%-3.7%（2024/8/6及以后）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四川银行定开系列6个月10号净值型理财产品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2.00%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3.41%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3.9%-4.1%（2022/2/16-2022/8/16）；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3.4%-4.4%（2023/2/16-2024/2/19）；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3.1%-3.7%（2024/8/16及以后）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四川银行定开系列6个月11号净值型理财产品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1.78%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4.80%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3.44%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3.9%-4.1%（2022/3/1-2022/8/26）；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3.4%-4.4%（2023/2/28-2024/2/27）；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3.1%-3.7%（2024/8/27及以后）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四川银行定开系列6个月12号净值型理财产品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1.59%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3.50%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3.9%-4.1%（2022/3/8-2022/9/6）；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3.4%-4.4%（2023/3/7-2023/9/6）；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3.1%-3.7%（2024/3/6及以后）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四川银行定开系列6个月13号净值型理财产品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2.44%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4.82%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3.44%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3.9%-4.1%（2022/3/16-2022/9/16）；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3.4%-4.4%（2023/3/16-2023/9/19）；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3.1%-3.7%（2024/3/19及以后）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四川银行定开系列6个月14号净值型理财产品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1.20%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5.95%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3.38%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3.9%-4.1%（2022/3/29-2022/9/27）；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3.4%-4.4%（2023/3/28-2023/9/26）；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3.1%-3.7%（2024/3/26及以后）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四川银行定开系列6个月15号净值型理财产品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1.21%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5.88%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3.38%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3.9%-4.1%（2022/4/7-2022/10/9）；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3.4%-4.4%（2023/4/7-2023/10/8）；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3.1%-3.7%（2024/4/8及以后）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四川银行定开系列6个月16号净值型理财产品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2.30%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5.05%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3.38%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3.9%-4.1%（2022/4/19-2022/10/18）；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3.4%-4.4%（2023/4/18-2023/10/17）；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3.1%-3.7%（2024/4/16及以后）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四川银行定开系列6个月17号净值型理财产品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1.17%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5.78%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3.35%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3.9%-4.1%（2022/4/26-2022/10/26）；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3.4%-4.4%（2023/4/26-2023/10/26）；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3.1%-3.7%（2024/4/26及以后）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四川银行定开系列6个月18号净值型理财产品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2022/5/6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1.71%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5.37%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3.44%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3.9%-4.1%（2022/5/6-2022/11/8）；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3.4%-4.4%（2023/5/6-2023/11/7）；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3.1%-3.7%（2024/5/7及以后）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净值型系列封闭式第115期人民币理财产品（先到利）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2021/7/8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5.07%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净值型系列封闭式第117期人民币理财产品（先到利B款半年分红）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净值型系列封闭式第118期人民币理财产品（先到利B款半年分红）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2021/12/23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4.48%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净值型系列封闭式第172期人民币理财产品（先到利）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2021/7/22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4.86%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净值型系列封闭式第173期人民币理财产品（先到利）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2021/8/6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4.86%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净值型系列封闭式第174期人民币理财产品（先到利）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2021/8/19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净值型系列封闭式第175期人民币理财产品（先到利）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2021/9/2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4.87%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净值型系列封闭式第176期人民币理财产品（先到利）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2021/9/23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净值型系列封闭式第177期人民币理财产品（先到利B款半年分红）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2021/10/12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5.55%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净值型系列封闭式第178期人民币理财产品（先到利按季分红）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2021/10/26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4.63%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净值型系列封闭式第179期人民币理财产品（先到利B款半年分红）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净值型系列封闭式第180期人民币理财产品（先到利B款半年分红）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净值型系列封闭式第181期人民币理财产品（先到利B款半年分红）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2021/11/25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4.64%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4.38%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净值型系列封闭式第119期人民币理财产品（先到利B款半年分红）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3.92%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5.25%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净值型系列封闭式第120期人民币理财产品（先到利B款半年分红）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净值型系列封闭式第182期人民币理财产品（先到利B款半年分红）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净值型系列封闭式第183期人民币理财产品（先到利B款半年分红）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2022/2/22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净值型系列封闭式第184期人民币理财产品（先到利B款半年分红）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4.41%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净值型系列封闭式第185期人民币理财产品（先到利B款半年分红）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2022/3/23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净值型系列封闭式第186期人民币理财产品（先到利B款半年分红）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5.03%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净值型系列封闭式第187期人民币理财产品（先到利B款半年分红）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2022/4/20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净值型系列封闭式第188期人民币理财产品（先到利B款半年分红）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2022/5/19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净值型系列封闭式第189期人民币理财产品（先到利B款半年分红）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2022/6/23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净值型系列封闭式第213期人民币理财产品（先到利B款半年分红）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2022/7/21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4.79%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净值型系列封闭式第214期人民币理财产品（先到利B款半年分红）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2022/8/23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3.82%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4.87%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净值型系列封闭式第215期人民币理财产品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3.65%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4.89%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净值型系列封闭式第216期人民币理财产品（先到利B款半年分红）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2022/9/21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净值型系列封闭式第217期人民币理财产品（先到利B款半年分红）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2022/10/12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2.79%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净值型系列封闭式第218期人民币理财产品（先到利B款半年分红）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2022/10/25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3.06%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净值型系列封闭式第254期人民币理财产品（先到利B款半年分红）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2022/11/8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1.76%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净值型系列封闭式第255期人民币理财产品（先到利B款半年分红）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2022/11/23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1.97%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净值型系列封闭式第256期人民币理财产品（先到利B款半年分红）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2022/12/7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-12.85%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  <w:t>指市场波动情况下会计估值核算数据，不代表实际兑付收益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5.79%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净值型系列封闭式第257期人民币理财产品（先到利B款半年分红）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2022/12/21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-7.63%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  <w:t>指市场波动情况下会计估值核算数据，不代表实际兑付收益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净值型系列封闭式第258期人民币理财产品（先到利B款半年分红）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2022/12/28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-6.39%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  <w:t>指市场波动情况下会计估值核算数据，不代表实际兑付收益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净值型系列封闭式第259期人民币理财产品（先到利C款按年分红）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2023/1/6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4.53%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净值型系列封闭式第260期人民币理财产品（先到利C款按年分红）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净值型系列封闭式第266期人民币理财产品（先到利C款按年分红）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2023/1/19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净值型系列封闭式第267期人民币理财产品（先到利C款按年分红）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2023/2/1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4.52%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净值型系列封闭式第268期人民币理财产品（先到利C款按年分红）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2023/2/8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净值型系列封闭式第269期人民币理财产品（先到利C款按年分红）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2023/2/15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4.54%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4.74%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净值型系列封闭式第270期人民币理财产品（先到利C款按年分红）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净值型系列封闭式第272期人民币理财产品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2023/2/28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4.07%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净值型系列封闭式第273期人民币理财产品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4.19%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净值型系列封闭式第274期人民币理财产品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4.40%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4.16%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净值型系列封闭式第276期人民币理财产品（先到利C款按年分红）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4.68%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5.07%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净值型系列封闭式第277期人民币理财产品（先到利C款按年分红）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2023/3/29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5.34%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4.80%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净值型系列封闭式第278期人民币理财产品（先到利C款按年分红）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5.25%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4.71%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净值型系列封闭式第279期人民币理财产品（先到利C款按年分红）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5.27%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4.98%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4.4%-4.8%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净值型系列封闭式第281期人民币理财产品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4.16%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4.25%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净值型系列封闭式第282期人民币理财产品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4.31%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4.13%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净值型系列封闭式第284期人民币理财产品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2023/4/19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\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4.22%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3.83%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3.9%-4.5%</w:t>
            </w:r>
          </w:p>
        </w:tc>
      </w:tr>
    </w:tbl>
    <w:p>
      <w:pPr>
        <w:ind w:firstLine="560" w:firstLineChars="200"/>
        <w:rPr>
          <w:rFonts w:ascii="仿宋" w:hAnsi="仿宋" w:eastAsia="仿宋"/>
          <w:sz w:val="28"/>
          <w:szCs w:val="30"/>
        </w:rPr>
      </w:pPr>
    </w:p>
    <w:p>
      <w:pPr>
        <w:ind w:firstLine="560" w:firstLineChars="200"/>
        <w:rPr>
          <w:rFonts w:ascii="仿宋" w:hAnsi="仿宋" w:eastAsia="仿宋"/>
          <w:sz w:val="28"/>
          <w:szCs w:val="30"/>
        </w:rPr>
      </w:pPr>
      <w:r>
        <w:rPr>
          <w:rFonts w:hint="eastAsia" w:ascii="仿宋" w:hAnsi="仿宋" w:eastAsia="仿宋"/>
          <w:sz w:val="28"/>
          <w:szCs w:val="30"/>
        </w:rPr>
        <w:t>三、成立6年以上的理财产品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无。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1、各理财产品过往业绩相关数据已经托管人核对。</w:t>
      </w:r>
    </w:p>
    <w:p>
      <w:pPr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2、理财产品过往业绩不代表其未来表现，不等于理财产品实际收益，投资需谨慎。理财产品业绩比较基准不是预期收益率，不代表产品的未来表现和实际收益，不构成对产品收益的承诺。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3、</w:t>
      </w:r>
      <w:r>
        <w:rPr>
          <w:rFonts w:hint="eastAsia" w:ascii="仿宋" w:hAnsi="仿宋" w:eastAsia="仿宋"/>
          <w:sz w:val="24"/>
          <w:szCs w:val="24"/>
        </w:rPr>
        <w:t>过往业绩计算方法：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现金</w:t>
      </w:r>
      <w:r>
        <w:rPr>
          <w:rFonts w:ascii="仿宋" w:hAnsi="仿宋" w:eastAsia="仿宋"/>
          <w:sz w:val="24"/>
          <w:szCs w:val="24"/>
        </w:rPr>
        <w:t>管理类产品</w:t>
      </w:r>
      <w:r>
        <w:rPr>
          <w:rFonts w:hint="eastAsia" w:ascii="仿宋" w:hAnsi="仿宋" w:eastAsia="仿宋"/>
          <w:sz w:val="24"/>
          <w:szCs w:val="24"/>
        </w:rPr>
        <w:t>（美日</w:t>
      </w:r>
      <w:r>
        <w:rPr>
          <w:rFonts w:ascii="仿宋" w:hAnsi="仿宋" w:eastAsia="仿宋"/>
          <w:sz w:val="24"/>
          <w:szCs w:val="24"/>
        </w:rPr>
        <w:t>利</w:t>
      </w:r>
      <w:r>
        <w:rPr>
          <w:rFonts w:hint="eastAsia" w:ascii="仿宋" w:hAnsi="仿宋" w:eastAsia="仿宋"/>
          <w:sz w:val="24"/>
          <w:szCs w:val="24"/>
        </w:rPr>
        <w:t>）年化</w:t>
      </w:r>
      <w:r>
        <w:rPr>
          <w:rFonts w:ascii="仿宋" w:hAnsi="仿宋" w:eastAsia="仿宋"/>
          <w:sz w:val="24"/>
          <w:szCs w:val="24"/>
        </w:rPr>
        <w:t>收益率：</w:t>
      </w:r>
    </w:p>
    <w:p>
      <w:pPr>
        <w:ind w:firstLine="480" w:firstLineChars="200"/>
        <w:rPr>
          <w:rFonts w:ascii="仿宋" w:hAnsi="仿宋" w:eastAsia="仿宋"/>
          <w:i/>
          <w:sz w:val="24"/>
          <w:szCs w:val="24"/>
        </w:rPr>
      </w:pPr>
      <m:oMathPara>
        <m:oMath>
          <m:r>
            <m:rPr>
              <m:nor/>
              <m:sty m:val="p"/>
            </m:rPr>
            <w:rPr>
              <w:rFonts w:hint="eastAsia" w:ascii="Cambria Math" w:hAnsi="Cambria Math" w:eastAsia="仿宋"/>
              <w:b w:val="0"/>
              <w:i w:val="0"/>
              <w:sz w:val="24"/>
              <w:szCs w:val="24"/>
            </w:rPr>
            <m:t>年化收益率</m:t>
          </m:r>
          <m:r>
            <m:rPr>
              <m:nor/>
              <m:sty m:val="p"/>
            </m:rPr>
            <w:rPr>
              <w:rFonts w:ascii="Cambria Math" w:hAnsi="Cambria Math" w:eastAsia="仿宋"/>
              <w:b w:val="0"/>
              <w:i w:val="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dPr>
            <m:e>
              <m:nary>
                <m:naryPr>
                  <m:chr m:val="∏"/>
                  <m:limLoc m:val="subSup"/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naryPr>
                <m:sub>
                  <m:r>
                    <m:rPr/>
                    <w:rPr>
                      <w:rFonts w:hint="eastAsia" w:ascii="Cambria Math" w:hAnsi="Cambria Math" w:eastAsia="仿宋"/>
                      <w:sz w:val="24"/>
                      <w:szCs w:val="24"/>
                    </w:rPr>
                    <m:t>i</m:t>
                  </m:r>
                  <m:r>
                    <m:rPr/>
                    <w:rPr>
                      <w:rFonts w:ascii="Cambria Math" w:hAnsi="Cambria Math" w:eastAsia="仿宋"/>
                      <w:sz w:val="24"/>
                      <w:szCs w:val="24"/>
                    </w:rPr>
                    <m:t>=1</m:t>
                  </m:r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sub>
                <m:sup>
                  <m:r>
                    <m:rPr/>
                    <w:rPr>
                      <w:rFonts w:ascii="Cambria Math" w:hAnsi="Cambria Math" w:eastAsia="仿宋"/>
                      <w:sz w:val="24"/>
                      <w:szCs w:val="24"/>
                    </w:rPr>
                    <m:t>N</m:t>
                  </m:r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 w:eastAsia="仿宋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 w:eastAsia="仿宋"/>
                              <w:sz w:val="24"/>
                              <w:szCs w:val="24"/>
                            </w:rPr>
                            <m:t>i</m:t>
                          </m:r>
                          <m:r>
                            <m:rPr>
                              <m:nor/>
                              <m:sty m:val="p"/>
                            </m:rPr>
                            <w:rPr>
                              <w:rFonts w:hint="eastAsia" w:ascii="Cambria Math" w:hAnsi="Cambria Math" w:eastAsia="仿宋"/>
                              <w:b w:val="0"/>
                              <w:i w:val="0"/>
                              <w:sz w:val="24"/>
                              <w:szCs w:val="24"/>
                            </w:rPr>
                            <m:t>日万份收益</m:t>
                          </m: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 w:eastAsia="仿宋"/>
                              <w:sz w:val="24"/>
                              <w:szCs w:val="24"/>
                            </w:rPr>
                            <m:t>10000</m:t>
                          </m:r>
                          <m:ctrlPr>
                            <w:rPr>
                              <w:rFonts w:ascii="Cambria Math" w:hAnsi="Cambria Math" w:eastAsia="仿宋"/>
                              <w:i/>
                              <w:sz w:val="24"/>
                              <w:szCs w:val="24"/>
                            </w:rPr>
                          </m:ctrlPr>
                        </m:den>
                      </m:f>
                      <m:r>
                        <m:rPr/>
                        <w:rPr>
                          <w:rFonts w:ascii="Cambria Math" w:hAnsi="Cambria Math" w:eastAsia="仿宋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ascii="Cambria Math" w:hAnsi="Cambria Math" w:eastAsia="仿宋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 w:eastAsia="仿宋"/>
                      <w:i/>
                      <w:sz w:val="24"/>
                      <w:szCs w:val="24"/>
                    </w:rPr>
                  </m:ctrlPr>
                </m:e>
              </m:nary>
              <m:r>
                <m:rPr/>
                <w:rPr>
                  <w:rFonts w:ascii="Cambria Math" w:hAnsi="Cambria Math" w:eastAsia="仿宋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e>
          </m:d>
          <m:r>
            <m:rPr/>
            <w:rPr>
              <w:rFonts w:hint="eastAsia" w:ascii="Cambria Math" w:hAnsi="Cambria Math" w:eastAsia="仿宋"/>
              <w:sz w:val="24"/>
              <w:szCs w:val="24"/>
            </w:rPr>
            <m:t>×</m:t>
          </m:r>
          <m:r>
            <m:rPr/>
            <w:rPr>
              <w:rFonts w:ascii="Cambria Math" w:hAnsi="Cambria Math" w:eastAsia="仿宋"/>
              <w:sz w:val="24"/>
              <w:szCs w:val="24"/>
            </w:rPr>
            <m:t>365/N</m:t>
          </m:r>
        </m:oMath>
      </m:oMathPara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定开系列</w:t>
      </w:r>
      <w:r>
        <w:rPr>
          <w:rFonts w:ascii="仿宋" w:hAnsi="仿宋" w:eastAsia="仿宋"/>
          <w:sz w:val="24"/>
          <w:szCs w:val="24"/>
        </w:rPr>
        <w:t>产品</w:t>
      </w:r>
      <w:r>
        <w:rPr>
          <w:rFonts w:hint="eastAsia" w:ascii="仿宋" w:hAnsi="仿宋" w:eastAsia="仿宋"/>
          <w:sz w:val="24"/>
          <w:szCs w:val="24"/>
        </w:rPr>
        <w:t>及净值型</w:t>
      </w:r>
      <w:r>
        <w:rPr>
          <w:rFonts w:ascii="仿宋" w:hAnsi="仿宋" w:eastAsia="仿宋"/>
          <w:sz w:val="24"/>
          <w:szCs w:val="24"/>
        </w:rPr>
        <w:t>封闭式产品</w:t>
      </w:r>
      <w:r>
        <w:rPr>
          <w:rFonts w:hint="eastAsia" w:ascii="仿宋" w:hAnsi="仿宋" w:eastAsia="仿宋"/>
          <w:sz w:val="24"/>
          <w:szCs w:val="24"/>
        </w:rPr>
        <w:t>年化</w:t>
      </w:r>
      <w:r>
        <w:rPr>
          <w:rFonts w:ascii="仿宋" w:hAnsi="仿宋" w:eastAsia="仿宋"/>
          <w:sz w:val="24"/>
          <w:szCs w:val="24"/>
        </w:rPr>
        <w:t>收益率：</w:t>
      </w:r>
    </w:p>
    <w:p>
      <w:pPr>
        <w:ind w:firstLine="480" w:firstLineChars="200"/>
        <w:rPr>
          <w:rFonts w:ascii="仿宋" w:hAnsi="仿宋" w:eastAsia="仿宋"/>
          <w:i/>
          <w:sz w:val="24"/>
          <w:szCs w:val="24"/>
        </w:rPr>
      </w:pPr>
      <m:oMathPara>
        <m:oMath>
          <m:r>
            <m:rPr>
              <m:nor/>
              <m:sty m:val="p"/>
            </m:rPr>
            <w:rPr>
              <w:rFonts w:hint="eastAsia" w:ascii="Cambria Math" w:hAnsi="Cambria Math" w:eastAsia="仿宋"/>
              <w:b w:val="0"/>
              <w:i w:val="0"/>
              <w:sz w:val="24"/>
              <w:szCs w:val="24"/>
            </w:rPr>
            <m:t>年化收益率</m:t>
          </m:r>
          <m:r>
            <m:rPr>
              <m:nor/>
              <m:sty m:val="p"/>
            </m:rPr>
            <w:rPr>
              <w:rFonts w:ascii="Cambria Math" w:hAnsi="Cambria Math" w:eastAsia="仿宋"/>
              <w:b w:val="0"/>
              <w:i w:val="0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dPr>
            <m:e>
              <m:r>
                <m:rPr>
                  <m:nor/>
                  <m:sty m:val="p"/>
                </m:rPr>
                <w:rPr>
                  <w:rFonts w:hint="eastAsia" w:ascii="Cambria Math" w:hAnsi="Cambria Math" w:eastAsia="仿宋"/>
                  <w:b w:val="0"/>
                  <w:i w:val="0"/>
                  <w:sz w:val="24"/>
                  <w:szCs w:val="24"/>
                </w:rPr>
                <m:t>期末累计净值</m:t>
              </m:r>
              <m:r>
                <m:rPr/>
                <w:rPr>
                  <w:rFonts w:ascii="Cambria Math" w:hAnsi="Cambria Math" w:eastAsia="仿宋"/>
                  <w:sz w:val="24"/>
                  <w:szCs w:val="24"/>
                </w:rPr>
                <m:t>−</m:t>
              </m:r>
              <m:r>
                <m:rPr>
                  <m:nor/>
                  <m:sty m:val="p"/>
                </m:rPr>
                <w:rPr>
                  <w:rFonts w:hint="eastAsia" w:ascii="Cambria Math" w:hAnsi="Cambria Math" w:eastAsia="仿宋"/>
                  <w:b w:val="0"/>
                  <w:i w:val="0"/>
                  <w:sz w:val="24"/>
                  <w:szCs w:val="24"/>
                </w:rPr>
                <m:t>期初累计净值</m:t>
              </m:r>
              <m:ctrlPr>
                <w:rPr>
                  <w:rFonts w:ascii="Cambria Math" w:hAnsi="Cambria Math" w:eastAsia="仿宋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 w:eastAsia="仿宋"/>
              <w:sz w:val="24"/>
              <w:szCs w:val="24"/>
            </w:rPr>
            <m:t>×365/N</m:t>
          </m:r>
        </m:oMath>
      </m:oMathPara>
    </w:p>
    <w:p>
      <w:pPr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其中：</w:t>
      </w:r>
      <w:r>
        <w:rPr>
          <w:rFonts w:hint="eastAsia" w:ascii="仿宋" w:hAnsi="仿宋" w:eastAsia="仿宋"/>
          <w:i/>
          <w:iCs/>
          <w:sz w:val="24"/>
          <w:szCs w:val="24"/>
        </w:rPr>
        <w:t>N</w:t>
      </w:r>
      <w:r>
        <w:rPr>
          <w:rFonts w:hint="eastAsia" w:ascii="仿宋" w:hAnsi="仿宋" w:eastAsia="仿宋"/>
          <w:sz w:val="24"/>
          <w:szCs w:val="24"/>
        </w:rPr>
        <w:t>为存续天数。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24"/>
          <w:szCs w:val="24"/>
        </w:rPr>
        <w:t>业绩比较基准选择原因及测算依据以对应理财产品说明书为准。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iNmE5ZDJkNDJhNzAxZmZlNDY2YmZmZDczY2Q3ZGMifQ=="/>
    <w:docVar w:name="KSO_WPS_MARK_KEY" w:val="e6624abf-7ad5-4f88-afb5-f79bff54a787"/>
  </w:docVars>
  <w:rsids>
    <w:rsidRoot w:val="00650EEC"/>
    <w:rsid w:val="00021ADA"/>
    <w:rsid w:val="0010325A"/>
    <w:rsid w:val="00113C4B"/>
    <w:rsid w:val="00135DC4"/>
    <w:rsid w:val="00146AD0"/>
    <w:rsid w:val="00170778"/>
    <w:rsid w:val="001B3637"/>
    <w:rsid w:val="001C283D"/>
    <w:rsid w:val="001C7DFD"/>
    <w:rsid w:val="001D6D22"/>
    <w:rsid w:val="001F12AD"/>
    <w:rsid w:val="00237A6F"/>
    <w:rsid w:val="00241B94"/>
    <w:rsid w:val="00267C2F"/>
    <w:rsid w:val="002D4490"/>
    <w:rsid w:val="002E5DC9"/>
    <w:rsid w:val="002F2032"/>
    <w:rsid w:val="002F323D"/>
    <w:rsid w:val="00310E59"/>
    <w:rsid w:val="00337D57"/>
    <w:rsid w:val="00353D7D"/>
    <w:rsid w:val="003817F4"/>
    <w:rsid w:val="00453409"/>
    <w:rsid w:val="004A4B51"/>
    <w:rsid w:val="004D5058"/>
    <w:rsid w:val="0051520F"/>
    <w:rsid w:val="00540F97"/>
    <w:rsid w:val="005A3CBB"/>
    <w:rsid w:val="005F1D9C"/>
    <w:rsid w:val="005F54DC"/>
    <w:rsid w:val="00603255"/>
    <w:rsid w:val="006252EC"/>
    <w:rsid w:val="00650EEC"/>
    <w:rsid w:val="00737488"/>
    <w:rsid w:val="00742154"/>
    <w:rsid w:val="00787999"/>
    <w:rsid w:val="007A5FF5"/>
    <w:rsid w:val="0081036D"/>
    <w:rsid w:val="008A40E7"/>
    <w:rsid w:val="008B753A"/>
    <w:rsid w:val="00916F9B"/>
    <w:rsid w:val="00992F2E"/>
    <w:rsid w:val="009B7506"/>
    <w:rsid w:val="00A93605"/>
    <w:rsid w:val="00AE0EAB"/>
    <w:rsid w:val="00B02FE5"/>
    <w:rsid w:val="00BF2F9A"/>
    <w:rsid w:val="00CB7047"/>
    <w:rsid w:val="00D36BED"/>
    <w:rsid w:val="00D50B55"/>
    <w:rsid w:val="00D70D13"/>
    <w:rsid w:val="00D96C1F"/>
    <w:rsid w:val="00DD6504"/>
    <w:rsid w:val="00E0499F"/>
    <w:rsid w:val="00E91512"/>
    <w:rsid w:val="00EA594A"/>
    <w:rsid w:val="00EA7312"/>
    <w:rsid w:val="00F67173"/>
    <w:rsid w:val="00FB4520"/>
    <w:rsid w:val="0233386D"/>
    <w:rsid w:val="06060559"/>
    <w:rsid w:val="08DD4E60"/>
    <w:rsid w:val="0BE77549"/>
    <w:rsid w:val="0BFB189F"/>
    <w:rsid w:val="0ED45911"/>
    <w:rsid w:val="141E7703"/>
    <w:rsid w:val="194D3121"/>
    <w:rsid w:val="1BC566DF"/>
    <w:rsid w:val="1C0360BE"/>
    <w:rsid w:val="330F46D8"/>
    <w:rsid w:val="397057EE"/>
    <w:rsid w:val="3E7B3C37"/>
    <w:rsid w:val="406E2169"/>
    <w:rsid w:val="440A1978"/>
    <w:rsid w:val="4B635967"/>
    <w:rsid w:val="4D2374DD"/>
    <w:rsid w:val="4D420AFB"/>
    <w:rsid w:val="535E39A0"/>
    <w:rsid w:val="561C6F74"/>
    <w:rsid w:val="5A055BF0"/>
    <w:rsid w:val="5B1D29BA"/>
    <w:rsid w:val="67024A05"/>
    <w:rsid w:val="6E47404E"/>
    <w:rsid w:val="6EE9430A"/>
    <w:rsid w:val="74230CB9"/>
    <w:rsid w:val="752A40F3"/>
    <w:rsid w:val="78717774"/>
    <w:rsid w:val="78C55630"/>
    <w:rsid w:val="78E12868"/>
    <w:rsid w:val="7FD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文字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2">
    <w:name w:val="批注主题 字符"/>
    <w:basedOn w:val="11"/>
    <w:link w:val="5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1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页眉 字符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6">
    <w:name w:val="Placeholder Text"/>
    <w:basedOn w:val="7"/>
    <w:unhideWhenUsed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5687</Words>
  <Characters>11854</Characters>
  <Lines>95</Lines>
  <Paragraphs>26</Paragraphs>
  <TotalTime>0</TotalTime>
  <ScaleCrop>false</ScaleCrop>
  <LinksUpToDate>false</LinksUpToDate>
  <CharactersWithSpaces>11854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2024-05-10T02:29:00Z</dcterms:created>
  <dc:creator>86136</dc:creator>
  <cp:lastModifiedBy>qinfei</cp:lastModifiedBy>
  <cp:lastPrinted>2024-04-17T07:05:00Z</cp:lastPrinted>
  <dcterms:modified xsi:type="dcterms:W3CDTF">2024-05-24T08:05:02Z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CA64C7DFAA604A76A3CFCA16CBE16ED2</vt:lpwstr>
  </property>
</Properties>
</file>