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</w:p>
    <w:bookmarkEnd w:id="6"/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254,480,740.00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6.44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1,200,867.43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2,033,604.28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256,151,246.89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1.0644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195,377,280.92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195,377,280.92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40,011,535.84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15.30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25,855,587.51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209,004.26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261,453,408.53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40,011,535.84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15,801,982.08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24深圳前海微众银行CD003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14,983,142.31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14,982,916.39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11,827,456.16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11,508,350.68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11,468,690.41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10,752,712.33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10,448,739.73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20达州投资MTN002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10,308,448.09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4.02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84E3C36"/>
    <w:rsid w:val="597C7F3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1140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2024-04-11T03:56:10Z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6AADF66330E04D72892CE516FA69A908</vt:lpwstr>
  </property>
</Properties>
</file>