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48"/>
        </w:rPr>
      </w:pPr>
    </w:p>
    <w:p>
      <w:pPr>
        <w:rPr>
          <w:sz w:val="48"/>
        </w:rPr>
      </w:pPr>
    </w:p>
    <w:p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 xml:space="preserve">四川银行定开系列3个月11号净值型理财产品 </w:t>
      </w:r>
    </w:p>
    <w:p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2023年第2季度</w:t>
      </w:r>
      <w:r>
        <w:rPr>
          <w:rFonts w:hint="eastAsia" w:ascii="宋体" w:hAnsi="宋体"/>
          <w:b/>
          <w:bCs/>
          <w:sz w:val="48"/>
          <w:szCs w:val="30"/>
        </w:rPr>
        <w:t>报告</w:t>
      </w:r>
    </w:p>
    <w:p>
      <w:pPr>
        <w:jc w:val="center"/>
        <w:rPr>
          <w:rFonts w:ascii="宋体" w:hAnsi="宋体"/>
          <w:b/>
          <w:bCs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sz w:val="28"/>
          <w:szCs w:val="30"/>
        </w:rPr>
      </w:pPr>
    </w:p>
    <w:p>
      <w:pPr>
        <w:ind w:firstLine="1687" w:firstLineChars="600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>
      <w:pPr>
        <w:ind w:firstLine="1687" w:firstLineChars="600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>
      <w:pPr>
        <w:ind w:firstLine="1680" w:firstLineChars="600"/>
        <w:jc w:val="left"/>
        <w:rPr>
          <w:rFonts w:ascii="宋体" w:hAnsi="宋体"/>
          <w:sz w:val="28"/>
          <w:szCs w:val="30"/>
        </w:rPr>
      </w:pPr>
    </w:p>
    <w:p>
      <w:pPr>
        <w:ind w:firstLine="1680" w:firstLineChars="600"/>
        <w:jc w:val="left"/>
        <w:rPr>
          <w:rFonts w:ascii="宋体" w:hAnsi="宋体"/>
          <w:sz w:val="28"/>
          <w:szCs w:val="30"/>
        </w:rPr>
      </w:pPr>
    </w:p>
    <w:p>
      <w:pPr>
        <w:ind w:firstLine="1680" w:firstLineChars="600"/>
        <w:jc w:val="left"/>
        <w:rPr>
          <w:rFonts w:ascii="宋体" w:hAnsi="宋体"/>
          <w:sz w:val="28"/>
          <w:szCs w:val="30"/>
        </w:rPr>
      </w:pPr>
    </w:p>
    <w:p>
      <w:pPr>
        <w:rPr>
          <w:rFonts w:ascii="宋体" w:hAnsi="宋体"/>
          <w:sz w:val="28"/>
          <w:szCs w:val="30"/>
        </w:rPr>
      </w:pPr>
    </w:p>
    <w:p>
      <w:pPr>
        <w:jc w:val="center"/>
        <w:rPr>
          <w:rFonts w:ascii="宋体" w:hAnsi="宋体"/>
          <w:b/>
          <w:bCs/>
          <w:sz w:val="28"/>
          <w:szCs w:val="30"/>
        </w:rPr>
      </w:pPr>
    </w:p>
    <w:p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hint="eastAsia" w:ascii="宋体" w:hAnsi="宋体"/>
          <w:b/>
          <w:bCs/>
          <w:sz w:val="28"/>
          <w:szCs w:val="30"/>
        </w:rPr>
        <w:t>重要提示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hint="eastAsia" w:ascii="宋体" w:hAnsi="宋体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产品管理人承诺以诚实信用、勤勉尽责的原则管理和运用理财资产，但不保证一定盈利。产品的过往业绩并不代表其未来表现。投资有风险，投资者在作出投资决策前应仔细阅读本产品的发行文件。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本报告中财务资料未经审计。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hint="eastAsia" w:ascii="宋体" w:hAnsi="宋体"/>
          <w:szCs w:val="21"/>
        </w:rPr>
        <w:t>自2023-04-01起至2023-06-30</w:t>
      </w:r>
      <w:r>
        <w:rPr>
          <w:rFonts w:ascii="宋体" w:hAnsi="宋体"/>
          <w:szCs w:val="21"/>
        </w:rPr>
        <w:t>止。</w:t>
      </w:r>
    </w:p>
    <w:p>
      <w:pPr>
        <w:pStyle w:val="40"/>
      </w:pPr>
      <w:r>
        <w:rPr>
          <w:rFonts w:hint="eastAsia"/>
          <w:lang w:eastAsia="zh-CN"/>
        </w:rPr>
        <w:t>产品</w:t>
      </w:r>
      <w:r>
        <w:rPr>
          <w:rFonts w:hint="eastAsia"/>
        </w:rPr>
        <w:t>基本情况</w:t>
      </w:r>
      <w:r>
        <w:rPr>
          <w:rFonts w:hint="eastAsia"/>
          <w:lang w:eastAsia="zh-CN"/>
        </w:rPr>
        <w:t xml:space="preserve"> </w:t>
      </w:r>
    </w:p>
    <w:tbl>
      <w:tblPr>
        <w:tblStyle w:val="17"/>
        <w:tblW w:w="0" w:type="auto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四川银行定开系列3个月11号净值型理财产品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ind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四川银行股份有限公司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9999-12-31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hint="eastAsia" w:ascii="宋体" w:hAnsi="宋体"/>
              </w:rPr>
              <w:t>108,650,999.00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[3.2%-4.2%]/年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>
      <w:pPr>
        <w:pStyle w:val="40"/>
        <w:rPr>
          <w:lang w:eastAsia="zh-CN"/>
        </w:rPr>
      </w:pPr>
      <w:r>
        <w:rPr>
          <w:rFonts w:hint="eastAsia"/>
        </w:rPr>
        <w:t>产品</w:t>
      </w:r>
      <w:r>
        <w:rPr>
          <w:rFonts w:hint="eastAsia"/>
          <w:lang w:eastAsia="zh-CN"/>
        </w:rPr>
        <w:t>收益</w:t>
      </w:r>
      <w:r>
        <w:rPr>
          <w:rFonts w:hint="eastAsia"/>
        </w:rPr>
        <w:t>表现</w:t>
      </w:r>
    </w:p>
    <w:tbl>
      <w:tblPr>
        <w:tblStyle w:val="17"/>
        <w:tblW w:w="8956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3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85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8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hint="eastAsia" w:ascii="宋体" w:hAnsi="宋体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510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8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自产品成立日至今</w:t>
            </w:r>
          </w:p>
        </w:tc>
        <w:tc>
          <w:tcPr>
            <w:tcW w:w="510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3.12</w:t>
            </w:r>
            <w:bookmarkStart w:id="1" w:name="OLE_LINK7"/>
            <w:bookmarkEnd w:id="1"/>
            <w:bookmarkStart w:id="2" w:name="OLE_LINK4"/>
            <w:bookmarkEnd w:id="2"/>
          </w:p>
        </w:tc>
      </w:tr>
    </w:tbl>
    <w:p>
      <w:pPr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>
      <w:pPr>
        <w:pStyle w:val="40"/>
      </w:pPr>
      <w:r>
        <w:rPr>
          <w:rFonts w:hint="eastAsia"/>
        </w:rPr>
        <w:t>主要财务指标</w:t>
      </w: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>金额单位：元</w:t>
      </w:r>
    </w:p>
    <w:tbl>
      <w:tblPr>
        <w:tblStyle w:val="17"/>
        <w:tblW w:w="8865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838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 xml:space="preserve">至 </w:t>
            </w:r>
            <w:r>
              <w:rPr>
                <w:b/>
              </w:rPr>
              <w:t>2023-06-30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142,181.09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481,381.09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108,810,270.54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3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1.0015</w:t>
            </w:r>
          </w:p>
        </w:tc>
      </w:tr>
    </w:tbl>
    <w:p>
      <w:pPr>
        <w:tabs>
          <w:tab w:val="left" w:pos="3135"/>
        </w:tabs>
        <w:ind w:left="420" w:left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pStyle w:val="40"/>
      </w:pPr>
      <w:r>
        <w:rPr>
          <w:rFonts w:hint="eastAsia"/>
        </w:rPr>
        <w:t>投资组合情况</w:t>
      </w:r>
      <w:r>
        <w:rPr>
          <w:rFonts w:hint="eastAsia"/>
          <w:lang w:eastAsia="zh-CN"/>
        </w:rPr>
        <w:t>及</w:t>
      </w:r>
      <w:r>
        <w:rPr>
          <w:lang w:eastAsia="zh-CN"/>
        </w:rPr>
        <w:t>流动性风险分析</w:t>
      </w: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9"/>
        <w:keepNext/>
        <w:keepLines/>
        <w:numPr>
          <w:ilvl w:val="0"/>
          <w:numId w:val="2"/>
        </w:numPr>
        <w:spacing w:before="156" w:beforeLines="50" w:after="156" w:afterLines="50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 w:eastAsia="zh-CN"/>
        </w:rPr>
      </w:pPr>
    </w:p>
    <w:p>
      <w:pPr>
        <w:pStyle w:val="41"/>
        <w:spacing w:before="156" w:after="156"/>
      </w:pPr>
      <w:r>
        <w:rPr>
          <w:rFonts w:hint="eastAsia"/>
          <w:b w:val="0"/>
        </w:rPr>
        <w:t>期末资产组合情况</w:t>
      </w:r>
    </w:p>
    <w:p>
      <w:pPr>
        <w:rPr>
          <w:lang w:val="zh-CN" w:eastAsia="zh-CN"/>
        </w:rPr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rPr>
          <w:rFonts w:hint="eastAsia"/>
        </w:rPr>
        <w:t>金额单位：元</w:t>
      </w:r>
    </w:p>
    <w:tbl>
      <w:tblPr>
        <w:tblStyle w:val="17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447"/>
        <w:gridCol w:w="1697"/>
        <w:gridCol w:w="1749"/>
        <w:gridCol w:w="165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1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占产品总资产的比例（%）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占产品总资产的比例（%）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76,773,079.03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70.09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76,773,079.03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70.09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金融衍生品投资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20,006,921.24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18.26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12,679,023.72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11.58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78,812.56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0.07</w:t>
            </w:r>
          </w:p>
        </w:tc>
        <w:tc>
          <w:tcPr>
            <w:tcW w:w="1653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" w:type="dxa"/>
            <w:shd w:val="clear" w:color="auto" w:fill="auto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109,537,836.55</w:t>
            </w:r>
          </w:p>
        </w:tc>
        <w:tc>
          <w:tcPr>
            <w:tcW w:w="1749" w:type="dxa"/>
            <w:shd w:val="clear" w:color="auto" w:fill="auto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100.00</w:t>
            </w:r>
          </w:p>
        </w:tc>
        <w:tc>
          <w:tcPr>
            <w:tcW w:w="1653" w:type="dxa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  <w:tc>
          <w:tcPr>
            <w:tcW w:w="1705" w:type="dxa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</w:t>
            </w:r>
          </w:p>
        </w:tc>
      </w:tr>
    </w:tbl>
    <w:p>
      <w:pPr>
        <w:ind w:left="420" w:leftChars="200"/>
        <w:jc w:val="left"/>
        <w:rPr>
          <w:rFonts w:ascii="宋体" w:hAnsi="宋体"/>
          <w:sz w:val="24"/>
        </w:rPr>
      </w:pPr>
    </w:p>
    <w:p>
      <w:pPr>
        <w:ind w:left="420" w:leftChars="200"/>
        <w:jc w:val="left"/>
        <w:rPr>
          <w:rFonts w:asciiTheme="minorEastAsia" w:hAnsiTheme="minorEastAsia" w:eastAsiaTheme="minorEastAsia"/>
          <w:sz w:val="24"/>
        </w:rPr>
      </w:pPr>
    </w:p>
    <w:p>
      <w:pPr>
        <w:pStyle w:val="41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  <w:lang w:eastAsia="zh-CN"/>
        </w:rPr>
        <w:t>性</w:t>
      </w:r>
      <w:r>
        <w:rPr>
          <w:b w:val="0"/>
        </w:rPr>
        <w:t>风险分析</w:t>
      </w:r>
    </w:p>
    <w:p>
      <w:pPr>
        <w:spacing w:line="360" w:lineRule="auto"/>
        <w:ind w:right="-107" w:rightChars="-51"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>
      <w:pPr>
        <w:widowControl/>
        <w:jc w:val="left"/>
        <w:rPr>
          <w:rFonts w:ascii="宋体" w:hAnsi="宋体"/>
          <w:sz w:val="24"/>
        </w:rPr>
      </w:pPr>
    </w:p>
    <w:p>
      <w:pPr>
        <w:pStyle w:val="41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>金额单位：元</w:t>
      </w:r>
    </w:p>
    <w:tbl>
      <w:tblPr>
        <w:tblStyle w:val="1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159"/>
        <w:gridCol w:w="2693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77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占产品资产净值比例（%）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GC007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20,006,921.24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18.39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23贵阳银行CD113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9,762,991.39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21攀枝城投MTN001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8,366,926.03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23桂林银行CD019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7,936,659.66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20广投01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7,304,730.14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22自贡高新MTN002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5,353,821.92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22凉山发展MTN001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5,184,866.12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5,140,315.07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22温国01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5,111,253.42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17兴蜀专项债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4,301,306.30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3.95</w:t>
            </w:r>
            <w:bookmarkEnd w:id="3"/>
            <w:bookmarkEnd w:id="4"/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ind w:left="424" w:leftChars="202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注：前十项资产明细仅包含证券投资、场外投资，不包含银行存款、存出保证金、清算备付金等资产。</w:t>
      </w:r>
    </w:p>
    <w:p>
      <w:pPr>
        <w:pStyle w:val="40"/>
      </w:pPr>
      <w:r>
        <w:t>托管人报告</w:t>
      </w:r>
    </w:p>
    <w:p>
      <w:pPr>
        <w:spacing w:line="360" w:lineRule="auto"/>
        <w:ind w:right="-107" w:rightChars="-51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>
      <w:pPr>
        <w:pStyle w:val="40"/>
        <w:bidi w:val="0"/>
        <w:ind w:left="420" w:leftChars="0" w:hanging="420" w:firstLineChars="0"/>
        <w:rPr>
          <w:rFonts w:hint="eastAsia"/>
          <w:lang w:val="en-US" w:eastAsia="zh-CN"/>
        </w:rPr>
      </w:pPr>
      <w:bookmarkStart w:id="5" w:name="_GoBack"/>
      <w:r>
        <w:rPr>
          <w:rFonts w:hint="eastAsia"/>
          <w:lang w:val="en-US" w:eastAsia="zh-CN"/>
        </w:rPr>
        <w:t>关联交易情况说明</w:t>
      </w:r>
    </w:p>
    <w:p>
      <w:pPr>
        <w:pStyle w:val="3"/>
        <w:ind w:firstLine="420" w:firstLineChars="200"/>
        <w:rPr>
          <w:rFonts w:hint="default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szCs w:val="21"/>
          <w:lang w:val="en-US" w:eastAsia="zh-CN" w:bidi="ar-SA"/>
        </w:rPr>
        <w:t>本报告期末，本产品投资的21攀枝城投MTN001、22凉山发展MTN001</w:t>
      </w:r>
      <w:r>
        <w:rPr>
          <w:rFonts w:hint="eastAsia" w:ascii="宋体" w:hAnsi="宋体" w:cs="Times New Roman"/>
          <w:b w:val="0"/>
          <w:bCs w:val="0"/>
          <w:kern w:val="2"/>
          <w:sz w:val="21"/>
          <w:szCs w:val="21"/>
          <w:lang w:val="en-US" w:eastAsia="zh-CN" w:bidi="ar-SA"/>
        </w:rPr>
        <w:t>属于关联交易。</w:t>
      </w:r>
    </w:p>
    <w:bookmarkEnd w:id="5"/>
    <w:p>
      <w:pPr>
        <w:jc w:val="left"/>
        <w:rPr>
          <w:rFonts w:asciiTheme="minorEastAsia" w:hAnsiTheme="minorEastAsia" w:eastAsiaTheme="minorEastAsia"/>
          <w:szCs w:val="21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hint="eastAsia" w:ascii="宋体" w:hAnsi="宋体"/>
          <w:sz w:val="28"/>
          <w:szCs w:val="28"/>
        </w:rPr>
        <w:t xml:space="preserve">                   </w:t>
      </w:r>
    </w:p>
    <w:sectPr>
      <w:footerReference r:id="rId3" w:type="default"/>
      <w:footerReference r:id="rId4" w:type="even"/>
      <w:pgSz w:w="11906" w:h="16838"/>
      <w:pgMar w:top="1440" w:right="1531" w:bottom="1134" w:left="1531" w:header="851" w:footer="992" w:gutter="0"/>
      <w:pgNumType w:fmt="decimal" w:start="1" w:chapSep="hyphen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/>
      <w:rPr>
        <w:rStyle w:val="20"/>
      </w:rPr>
    </w:pPr>
    <w:r>
      <w:rPr>
        <w:rStyle w:val="20"/>
        <w:rFonts w:hint="eastAsia"/>
      </w:rPr>
      <w:t xml:space="preserve"> </w:t>
    </w:r>
  </w:p>
  <w:p>
    <w:pPr>
      <w:pStyle w:val="10"/>
      <w:ind w:right="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>
    <w:pPr>
      <w:pStyle w:val="10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D73EE"/>
    <w:multiLevelType w:val="multilevel"/>
    <w:tmpl w:val="547D73EE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41"/>
      <w:suff w:val="space"/>
      <w:lvlText w:val="%1.%2"/>
      <w:lvlJc w:val="left"/>
      <w:pPr>
        <w:ind w:left="454" w:hanging="454"/>
      </w:pPr>
      <w:rPr>
        <w:rFonts w:hint="eastAsia"/>
      </w:rPr>
    </w:lvl>
    <w:lvl w:ilvl="2" w:tentative="0">
      <w:start w:val="1"/>
      <w:numFmt w:val="decimal"/>
      <w:pStyle w:val="42"/>
      <w:suff w:val="space"/>
      <w:lvlText w:val="%1.%2.%3"/>
      <w:lvlJc w:val="left"/>
      <w:pPr>
        <w:ind w:left="1050" w:hanging="624"/>
      </w:pPr>
      <w:rPr>
        <w:rFonts w:hint="eastAsia"/>
      </w:rPr>
    </w:lvl>
    <w:lvl w:ilvl="3" w:tentative="0">
      <w:start w:val="1"/>
      <w:numFmt w:val="decimal"/>
      <w:pStyle w:val="43"/>
      <w:suff w:val="space"/>
      <w:lvlText w:val="%1.%2.%3.%4"/>
      <w:lvlJc w:val="left"/>
      <w:pPr>
        <w:ind w:left="794" w:hanging="794"/>
      </w:pPr>
      <w:rPr>
        <w:rFonts w:hint="eastAsia"/>
      </w:rPr>
    </w:lvl>
    <w:lvl w:ilvl="4" w:tentative="0">
      <w:start w:val="1"/>
      <w:numFmt w:val="decimal"/>
      <w:pStyle w:val="44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 w:tentative="0">
      <w:start w:val="1"/>
      <w:numFmt w:val="decimal"/>
      <w:pStyle w:val="45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 w:tentative="0">
      <w:start w:val="1"/>
      <w:numFmt w:val="decimal"/>
      <w:pStyle w:val="40"/>
      <w:lvlText w:val="%1、"/>
      <w:lvlJc w:val="left"/>
      <w:pPr>
        <w:ind w:left="420" w:hanging="420"/>
      </w:pPr>
      <w:rPr>
        <w:rFonts w:hint="eastAsia"/>
        <w:spacing w:val="-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63C92CD8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iPriority="22" w:name="Strong"/>
    <w:lsdException w:qFormat="1" w:uiPriority="2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 w:eastAsia="zh-CN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 w:eastAsia="zh-CN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Date"/>
    <w:basedOn w:val="1"/>
    <w:next w:val="1"/>
    <w:link w:val="48"/>
    <w:uiPriority w:val="0"/>
    <w:rPr>
      <w:rFonts w:ascii="宋体"/>
      <w:sz w:val="32"/>
      <w:lang w:val="zh-CN" w:eastAsia="zh-CN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3"/>
    <w:next w:val="4"/>
    <w:link w:val="25"/>
    <w:qFormat/>
    <w:uiPriority w:val="0"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13">
    <w:name w:val="footnote text"/>
    <w:basedOn w:val="1"/>
    <w:link w:val="47"/>
    <w:uiPriority w:val="0"/>
    <w:pPr>
      <w:snapToGrid w:val="0"/>
      <w:jc w:val="left"/>
    </w:pPr>
    <w:rPr>
      <w:sz w:val="18"/>
      <w:szCs w:val="18"/>
      <w:lang w:val="zh-CN" w:eastAsia="zh-CN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5">
    <w:name w:val="Title"/>
    <w:basedOn w:val="2"/>
    <w:next w:val="3"/>
    <w:link w:val="28"/>
    <w:qFormat/>
    <w:uiPriority w:val="10"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16">
    <w:name w:val="annotation subject"/>
    <w:basedOn w:val="7"/>
    <w:next w:val="7"/>
    <w:uiPriority w:val="0"/>
    <w:rPr>
      <w:b/>
      <w:bCs/>
    </w:rPr>
  </w:style>
  <w:style w:type="table" w:styleId="18">
    <w:name w:val="Table Grid"/>
    <w:basedOn w:val="1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annotation reference"/>
    <w:qFormat/>
    <w:uiPriority w:val="0"/>
    <w:rPr>
      <w:sz w:val="21"/>
      <w:szCs w:val="21"/>
    </w:rPr>
  </w:style>
  <w:style w:type="character" w:styleId="22">
    <w:name w:val="footnote reference"/>
    <w:qFormat/>
    <w:uiPriority w:val="0"/>
    <w:rPr>
      <w:vertAlign w:val="superscript"/>
    </w:rPr>
  </w:style>
  <w:style w:type="character" w:customStyle="1" w:styleId="23">
    <w:name w:val="标题 3 字符"/>
    <w:link w:val="4"/>
    <w:qFormat/>
    <w:uiPriority w:val="9"/>
    <w:rPr>
      <w:b/>
      <w:bCs/>
      <w:sz w:val="32"/>
      <w:szCs w:val="32"/>
    </w:rPr>
  </w:style>
  <w:style w:type="character" w:customStyle="1" w:styleId="24">
    <w:name w:val="CODE"/>
    <w:uiPriority w:val="0"/>
    <w:rPr>
      <w:rFonts w:ascii="Courier New" w:hAnsi="Courier New"/>
      <w:spacing w:val="-10"/>
      <w:sz w:val="20"/>
      <w:lang w:val="en-GB" w:eastAsia="zh-CN"/>
    </w:rPr>
  </w:style>
  <w:style w:type="character" w:customStyle="1" w:styleId="25">
    <w:name w:val="副标题 字符"/>
    <w:link w:val="12"/>
    <w:qFormat/>
    <w:uiPriority w:val="0"/>
    <w:rPr>
      <w:rFonts w:ascii="Cambria" w:hAnsi="Cambria" w:eastAsia="宋体" w:cs="Times New Roman"/>
      <w:b/>
      <w:kern w:val="28"/>
      <w:sz w:val="24"/>
      <w:szCs w:val="32"/>
    </w:rPr>
  </w:style>
  <w:style w:type="character" w:customStyle="1" w:styleId="26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字符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字符"/>
    <w:link w:val="15"/>
    <w:qFormat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9">
    <w:name w:val="xl3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30">
    <w:name w:val="Char Char Char Char Char Char1 Char Char Char"/>
    <w:basedOn w:val="1"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31">
    <w:name w:val="次标题"/>
    <w:basedOn w:val="4"/>
    <w:next w:val="1"/>
    <w:qFormat/>
    <w:uiPriority w:val="0"/>
    <w:pPr>
      <w:jc w:val="left"/>
    </w:pPr>
    <w:rPr>
      <w:rFonts w:ascii="宋体" w:hAnsi="宋体"/>
      <w:sz w:val="24"/>
      <w:szCs w:val="24"/>
    </w:rPr>
  </w:style>
  <w:style w:type="paragraph" w:customStyle="1" w:styleId="32">
    <w:name w:val="Char"/>
    <w:basedOn w:val="1"/>
    <w:qFormat/>
    <w:uiPriority w:val="0"/>
  </w:style>
  <w:style w:type="character" w:customStyle="1" w:styleId="33">
    <w:name w:val="标题 4 字符"/>
    <w:link w:val="5"/>
    <w:semiHidden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paragraph" w:customStyle="1" w:styleId="34">
    <w:name w:val="XBRL标题1"/>
    <w:basedOn w:val="2"/>
    <w:next w:val="3"/>
    <w:qFormat/>
    <w:uiPriority w:val="0"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35">
    <w:name w:val="XBRL标题2"/>
    <w:basedOn w:val="12"/>
    <w:next w:val="5"/>
    <w:qFormat/>
    <w:uiPriority w:val="0"/>
    <w:pPr>
      <w:spacing w:beforeLines="50" w:afterLines="50" w:line="240" w:lineRule="auto"/>
    </w:pPr>
    <w:rPr>
      <w:bCs/>
    </w:rPr>
  </w:style>
  <w:style w:type="paragraph" w:customStyle="1" w:styleId="36">
    <w:name w:val="XBRL标题3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7">
    <w:name w:val="XBRL标题4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8">
    <w:name w:val="XBRL标题5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39">
    <w:name w:val="XBRL标题6"/>
    <w:basedOn w:val="12"/>
    <w:next w:val="5"/>
    <w:qFormat/>
    <w:uiPriority w:val="0"/>
    <w:pPr>
      <w:spacing w:beforeLines="50" w:afterLines="50" w:line="240" w:lineRule="auto"/>
      <w:outlineLvl w:val="9"/>
    </w:pPr>
    <w:rPr>
      <w:bCs/>
    </w:rPr>
  </w:style>
  <w:style w:type="paragraph" w:customStyle="1" w:styleId="40">
    <w:name w:val="XBRLTitle1"/>
    <w:basedOn w:val="2"/>
    <w:next w:val="3"/>
    <w:qFormat/>
    <w:uiPriority w:val="0"/>
    <w:pPr>
      <w:numPr>
        <w:ilvl w:val="0"/>
        <w:numId w:val="1"/>
      </w:numPr>
      <w:spacing w:before="156" w:beforeLines="50" w:after="156" w:afterLines="50" w:line="240" w:lineRule="auto"/>
      <w:jc w:val="left"/>
    </w:pPr>
    <w:rPr>
      <w:rFonts w:ascii="Cambria" w:hAnsi="Cambria"/>
      <w:sz w:val="28"/>
    </w:rPr>
  </w:style>
  <w:style w:type="paragraph" w:customStyle="1" w:styleId="41">
    <w:name w:val="XBRLTitle2"/>
    <w:basedOn w:val="12"/>
    <w:next w:val="5"/>
    <w:qFormat/>
    <w:uiPriority w:val="0"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42">
    <w:name w:val="XBRLTitle3"/>
    <w:basedOn w:val="12"/>
    <w:next w:val="5"/>
    <w:qFormat/>
    <w:uiPriority w:val="0"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3">
    <w:name w:val="XBRLTitle4"/>
    <w:basedOn w:val="12"/>
    <w:next w:val="5"/>
    <w:qFormat/>
    <w:uiPriority w:val="0"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4">
    <w:name w:val="XBRLTitle5"/>
    <w:basedOn w:val="12"/>
    <w:next w:val="5"/>
    <w:qFormat/>
    <w:uiPriority w:val="0"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5">
    <w:name w:val="XBRLTitle6"/>
    <w:basedOn w:val="12"/>
    <w:next w:val="5"/>
    <w:qFormat/>
    <w:uiPriority w:val="0"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47">
    <w:name w:val="脚注文本 字符"/>
    <w:link w:val="13"/>
    <w:uiPriority w:val="0"/>
    <w:rPr>
      <w:kern w:val="2"/>
      <w:sz w:val="18"/>
      <w:szCs w:val="18"/>
    </w:rPr>
  </w:style>
  <w:style w:type="character" w:customStyle="1" w:styleId="48">
    <w:name w:val="日期 字符"/>
    <w:link w:val="8"/>
    <w:uiPriority w:val="0"/>
    <w:rPr>
      <w:rFonts w:ascii="宋体"/>
      <w:kern w:val="2"/>
      <w:sz w:val="32"/>
    </w:rPr>
  </w:style>
  <w:style w:type="paragraph" w:styleId="49">
    <w:name w:val="List Paragraph"/>
    <w:basedOn w:val="1"/>
    <w:qFormat/>
    <w:uiPriority w:val="34"/>
    <w:pPr>
      <w:ind w:firstLine="420" w:firstLineChars="200"/>
    </w:pPr>
  </w:style>
  <w:style w:type="paragraph" w:customStyle="1" w:styleId="50">
    <w:name w:val="Char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C33ED8-1EE1-4735-B60D-886198643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4</Pages>
  <Words>292</Words>
  <Characters>1665</Characters>
  <Lines>13</Lines>
  <Paragraphs>3</Paragraphs>
  <TotalTime>1</TotalTime>
  <ScaleCrop>false</ScaleCrop>
  <LinksUpToDate>false</LinksUpToDate>
  <CharactersWithSpaces>1954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2020-01-07T12:08:00Z</dcterms:created>
  <dc:creator>yss</dc:creator>
  <cp:lastModifiedBy>80308982</cp:lastModifiedBy>
  <cp:lastPrinted>2411-12-31T16:00:00Z</cp:lastPrinted>
  <dcterms:modified xsi:type="dcterms:W3CDTF">2023-07-03T07:36:58Z</dcterms:modified>
  <dc:title>gongGaoMingCheng</dc:title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